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drawings/drawing3.xml" ContentType="application/vnd.openxmlformats-officedocument.drawingml.chartshapes+xml"/>
  <Override PartName="/word/charts/chart10.xml" ContentType="application/vnd.openxmlformats-officedocument.drawingml.chart+xml"/>
  <Override PartName="/word/theme/themeOverride10.xml" ContentType="application/vnd.openxmlformats-officedocument.themeOverride+xml"/>
  <Override PartName="/word/drawings/drawing4.xml" ContentType="application/vnd.openxmlformats-officedocument.drawingml.chartshapes+xml"/>
  <Override PartName="/word/charts/chart11.xml" ContentType="application/vnd.openxmlformats-officedocument.drawingml.chart+xml"/>
  <Override PartName="/word/theme/themeOverride11.xml" ContentType="application/vnd.openxmlformats-officedocument.themeOverride+xml"/>
  <Override PartName="/word/drawings/drawing5.xml" ContentType="application/vnd.openxmlformats-officedocument.drawingml.chartshapes+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drawings/drawing6.xml" ContentType="application/vnd.openxmlformats-officedocument.drawingml.chartshapes+xml"/>
  <Override PartName="/word/charts/chart17.xml" ContentType="application/vnd.openxmlformats-officedocument.drawingml.chart+xml"/>
  <Override PartName="/word/theme/themeOverride17.xml" ContentType="application/vnd.openxmlformats-officedocument.themeOverride+xml"/>
  <Override PartName="/word/drawings/drawing7.xml" ContentType="application/vnd.openxmlformats-officedocument.drawingml.chartshapes+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charts/chart20.xml" ContentType="application/vnd.openxmlformats-officedocument.drawingml.chart+xml"/>
  <Override PartName="/word/theme/themeOverride20.xml" ContentType="application/vnd.openxmlformats-officedocument.themeOverride+xml"/>
  <Override PartName="/word/charts/chart21.xml" ContentType="application/vnd.openxmlformats-officedocument.drawingml.chart+xml"/>
  <Override PartName="/word/theme/themeOverride21.xml" ContentType="application/vnd.openxmlformats-officedocument.themeOverride+xml"/>
  <Override PartName="/word/charts/chart22.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2.xml" ContentType="application/vnd.openxmlformats-officedocument.themeOverride+xml"/>
  <Override PartName="/word/charts/chart23.xml" ContentType="application/vnd.openxmlformats-officedocument.drawingml.chart+xml"/>
  <Override PartName="/word/theme/themeOverride23.xml" ContentType="application/vnd.openxmlformats-officedocument.themeOverride+xml"/>
  <Override PartName="/word/charts/chart24.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25.xml" ContentType="application/vnd.openxmlformats-officedocument.drawingml.chart+xml"/>
  <Override PartName="/word/theme/themeOverride24.xml" ContentType="application/vnd.openxmlformats-officedocument.themeOverride+xml"/>
  <Override PartName="/word/charts/chart2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25.xml" ContentType="application/vnd.openxmlformats-officedocument.themeOverride+xml"/>
  <Override PartName="/word/charts/chart27.xml" ContentType="application/vnd.openxmlformats-officedocument.drawingml.chart+xml"/>
  <Override PartName="/word/theme/themeOverride26.xml" ContentType="application/vnd.openxmlformats-officedocument.themeOverride+xml"/>
  <Override PartName="/word/charts/chart28.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27.xml" ContentType="application/vnd.openxmlformats-officedocument.themeOverride+xml"/>
  <Override PartName="/word/charts/chart29.xml" ContentType="application/vnd.openxmlformats-officedocument.drawingml.chart+xml"/>
  <Override PartName="/word/theme/themeOverride28.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25604" w14:textId="77777777" w:rsidR="00DD46E6" w:rsidRPr="00644D4E" w:rsidRDefault="00331CA0">
      <w:pPr>
        <w:rPr>
          <w:lang w:val="ro-RO"/>
        </w:rPr>
      </w:pPr>
      <w:r w:rsidRPr="00644D4E">
        <w:rPr>
          <w:lang w:val="ro-RO"/>
        </w:rPr>
        <mc:AlternateContent>
          <mc:Choice Requires="wps">
            <w:drawing>
              <wp:anchor distT="0" distB="0" distL="114300" distR="114300" simplePos="0" relativeHeight="251660288" behindDoc="0" locked="0" layoutInCell="1" allowOverlap="1" wp14:anchorId="5DED0A43" wp14:editId="69AF8BF2">
                <wp:simplePos x="0" y="0"/>
                <wp:positionH relativeFrom="page">
                  <wp:posOffset>3438659</wp:posOffset>
                </wp:positionH>
                <wp:positionV relativeFrom="page">
                  <wp:posOffset>399245</wp:posOffset>
                </wp:positionV>
                <wp:extent cx="2796540" cy="1165538"/>
                <wp:effectExtent l="0" t="0" r="3175" b="0"/>
                <wp:wrapNone/>
                <wp:docPr id="12" name="Прямоугольник 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6540" cy="1165538"/>
                        </a:xfrm>
                        <a:prstGeom prst="rect">
                          <a:avLst/>
                        </a:prstGeom>
                        <a:solidFill>
                          <a:schemeClr val="bg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7A376351" w14:textId="77777777" w:rsidR="00A4216E" w:rsidRDefault="00A4216E" w:rsidP="006A376D">
                            <w:pPr>
                              <w:shd w:val="clear" w:color="auto" w:fill="FFFFFF" w:themeFill="background1"/>
                              <w:spacing w:before="240"/>
                              <w:jc w:val="center"/>
                              <w:rPr>
                                <w:rFonts w:ascii="Times New Roman" w:hAnsi="Times New Roman" w:cs="Times New Roman"/>
                                <w:color w:val="FFFFFF" w:themeColor="background1"/>
                                <w:sz w:val="36"/>
                                <w:szCs w:val="36"/>
                                <w:lang w:val="ro-RO"/>
                              </w:rPr>
                            </w:pPr>
                            <w:r>
                              <w:rPr>
                                <w:noProof/>
                                <w:lang w:val="en-US"/>
                              </w:rPr>
                              <w:drawing>
                                <wp:inline distT="0" distB="0" distL="0" distR="0" wp14:anchorId="77674487" wp14:editId="4FBCF025">
                                  <wp:extent cx="1992240" cy="444223"/>
                                  <wp:effectExtent l="0" t="0" r="0" b="0"/>
                                  <wp:docPr id="15317058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0471" cy="504032"/>
                                          </a:xfrm>
                                          <a:prstGeom prst="rect">
                                            <a:avLst/>
                                          </a:prstGeom>
                                          <a:noFill/>
                                          <a:ln>
                                            <a:noFill/>
                                          </a:ln>
                                        </pic:spPr>
                                      </pic:pic>
                                    </a:graphicData>
                                  </a:graphic>
                                </wp:inline>
                              </w:drawing>
                            </w:r>
                          </w:p>
                          <w:p w14:paraId="39EA1CE0" w14:textId="77777777" w:rsidR="00A4216E" w:rsidRDefault="00A4216E">
                            <w:pPr>
                              <w:spacing w:before="240"/>
                              <w:jc w:val="center"/>
                              <w:rPr>
                                <w:rFonts w:ascii="Times New Roman" w:hAnsi="Times New Roman" w:cs="Times New Roman"/>
                                <w:color w:val="FFFFFF" w:themeColor="background1"/>
                                <w:sz w:val="36"/>
                                <w:szCs w:val="36"/>
                                <w:lang w:val="ro-RO"/>
                              </w:rPr>
                            </w:pPr>
                          </w:p>
                        </w:txbxContent>
                      </wps:txbx>
                      <wps:bodyPr rot="0" vert="horz" wrap="square" lIns="182880" tIns="182880" rIns="182880" bIns="365760" anchor="b" anchorCtr="0" upright="1">
                        <a:noAutofit/>
                      </wps:bodyPr>
                    </wps:wsp>
                  </a:graphicData>
                </a:graphic>
                <wp14:sizeRelH relativeFrom="page">
                  <wp14:pctWidth>37000</wp14:pctWidth>
                </wp14:sizeRelH>
                <wp14:sizeRelV relativeFrom="page">
                  <wp14:pctHeight>0</wp14:pctHeight>
                </wp14:sizeRelV>
              </wp:anchor>
            </w:drawing>
          </mc:Choice>
          <mc:Fallback>
            <w:pict>
              <v:rect w14:anchorId="5DED0A43" id="Прямоугольник 467" o:spid="_x0000_s1026" style="position:absolute;margin-left:270.75pt;margin-top:31.45pt;width:220.2pt;height:91.75pt;z-index:251660288;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" fillcolor="white [3212]" stroked="f" strokeweight="2pt">
                <v:textbox inset="14.4pt,14.4pt,14.4pt,28.8pt">
                  <w:txbxContent>
                    <w:p w14:paraId="7A376351" w14:textId="77777777" w:rsidR="00A4216E" w:rsidRDefault="00A4216E" w:rsidP="006A376D">
                      <w:pPr>
                        <w:shd w:val="clear" w:color="auto" w:fill="FFFFFF" w:themeFill="background1"/>
                        <w:spacing w:before="240"/>
                        <w:jc w:val="center"/>
                        <w:rPr>
                          <w:rFonts w:ascii="Times New Roman" w:hAnsi="Times New Roman" w:cs="Times New Roman"/>
                          <w:color w:val="FFFFFF" w:themeColor="background1"/>
                          <w:sz w:val="36"/>
                          <w:szCs w:val="36"/>
                          <w:lang w:val="ro-RO"/>
                        </w:rPr>
                      </w:pPr>
                      <w:r>
                        <w:rPr>
                          <w:noProof/>
                          <w:lang w:val="en-US"/>
                        </w:rPr>
                        <w:drawing>
                          <wp:inline distT="0" distB="0" distL="0" distR="0" wp14:anchorId="77674487" wp14:editId="4FBCF025">
                            <wp:extent cx="1992240" cy="444223"/>
                            <wp:effectExtent l="0" t="0" r="0" b="0"/>
                            <wp:docPr id="15317058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0471" cy="504032"/>
                                    </a:xfrm>
                                    <a:prstGeom prst="rect">
                                      <a:avLst/>
                                    </a:prstGeom>
                                    <a:noFill/>
                                    <a:ln>
                                      <a:noFill/>
                                    </a:ln>
                                  </pic:spPr>
                                </pic:pic>
                              </a:graphicData>
                            </a:graphic>
                          </wp:inline>
                        </w:drawing>
                      </w:r>
                    </w:p>
                    <w:p w14:paraId="39EA1CE0" w14:textId="77777777" w:rsidR="00A4216E" w:rsidRDefault="00A4216E">
                      <w:pPr>
                        <w:spacing w:before="240"/>
                        <w:jc w:val="center"/>
                        <w:rPr>
                          <w:rFonts w:ascii="Times New Roman" w:hAnsi="Times New Roman" w:cs="Times New Roman"/>
                          <w:color w:val="FFFFFF" w:themeColor="background1"/>
                          <w:sz w:val="36"/>
                          <w:szCs w:val="36"/>
                          <w:lang w:val="ro-RO"/>
                        </w:rPr>
                      </w:pPr>
                    </w:p>
                  </w:txbxContent>
                </v:textbox>
                <w10:wrap anchorx="page" anchory="page"/>
              </v:rect>
            </w:pict>
          </mc:Fallback>
        </mc:AlternateContent>
      </w:r>
    </w:p>
    <w:sdt>
      <w:sdtPr>
        <w:rPr>
          <w:lang w:val="ro-RO"/>
        </w:rPr>
        <w:id w:val="1017962511"/>
        <w:docPartObj>
          <w:docPartGallery w:val="Cover Pages"/>
          <w:docPartUnique/>
        </w:docPartObj>
      </w:sdtPr>
      <w:sdtEndPr>
        <w:rPr>
          <w:rFonts w:ascii="Times New Roman" w:eastAsia="Times New Roman" w:hAnsi="Times New Roman" w:cs="Times New Roman"/>
          <w:b/>
          <w:bCs/>
          <w:sz w:val="26"/>
          <w:szCs w:val="26"/>
        </w:rPr>
      </w:sdtEndPr>
      <w:sdtContent>
        <w:p w14:paraId="0D1A9C64" w14:textId="77777777" w:rsidR="00BB34DB" w:rsidRPr="00644D4E" w:rsidRDefault="00331CA0">
          <w:pPr>
            <w:rPr>
              <w:lang w:val="ro-RO"/>
            </w:rPr>
          </w:pPr>
          <w:r w:rsidRPr="00644D4E">
            <w:rPr>
              <w:lang w:val="ro-RO"/>
            </w:rPr>
            <mc:AlternateContent>
              <mc:Choice Requires="wps">
                <w:drawing>
                  <wp:anchor distT="0" distB="0" distL="114300" distR="114300" simplePos="0" relativeHeight="251664384" behindDoc="0" locked="0" layoutInCell="1" allowOverlap="1" wp14:anchorId="0E98BA6E" wp14:editId="1434B693">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66000</wp14:pctPosVOffset>
                        </wp:positionV>
                      </mc:Choice>
                      <mc:Fallback>
                        <wp:positionV relativeFrom="page">
                          <wp:posOffset>7056755</wp:posOffset>
                        </wp:positionV>
                      </mc:Fallback>
                    </mc:AlternateContent>
                    <wp:extent cx="2721610" cy="266700"/>
                    <wp:effectExtent l="0" t="0" r="0" b="0"/>
                    <wp:wrapSquare wrapText="bothSides"/>
                    <wp:docPr id="465" name="Текстовое поле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1610" cy="266700"/>
                            </a:xfrm>
                            <a:prstGeom prst="rect">
                              <a:avLst/>
                            </a:prstGeom>
                            <a:noFill/>
                            <a:ln w="6350">
                              <a:noFill/>
                            </a:ln>
                            <a:effectLst/>
                          </wps:spPr>
                          <wps:txbx>
                            <w:txbxContent>
                              <w:p w14:paraId="13AE9AE1" w14:textId="77777777" w:rsidR="00A4216E" w:rsidRPr="000356EC" w:rsidRDefault="00A4216E" w:rsidP="00BB34DB">
                                <w:pPr>
                                  <w:pStyle w:val="NoSpacing"/>
                                  <w:jc w:val="center"/>
                                  <w:rPr>
                                    <w:rFonts w:ascii="Times New Roman" w:hAnsi="Times New Roman" w:cs="Times New Roman"/>
                                    <w:b/>
                                    <w:color w:val="1F497D" w:themeColor="text2"/>
                                    <w:sz w:val="24"/>
                                    <w:szCs w:val="24"/>
                                    <w:lang w:val="ro-RO"/>
                                  </w:rPr>
                                </w:pPr>
                                <w:r w:rsidRPr="000356EC">
                                  <w:rPr>
                                    <w:rFonts w:ascii="Times New Roman" w:hAnsi="Times New Roman" w:cs="Times New Roman"/>
                                    <w:b/>
                                    <w:color w:val="1F497D" w:themeColor="text2"/>
                                    <w:sz w:val="24"/>
                                    <w:szCs w:val="24"/>
                                    <w:lang w:val="ro-RO"/>
                                  </w:rPr>
                                  <w:t>Observatorul pieței muncii</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w14:anchorId="0E98BA6E" id="_x0000_t202" coordsize="21600,21600" o:spt="202" path="m,l,21600r21600,l21600,xe">
                    <v:stroke joinstyle="miter"/>
                    <v:path gradientshapeok="t" o:connecttype="rect"/>
                  </v:shapetype>
                  <v:shape id="Текстовое поле 465" o:spid="_x0000_s1027" type="#_x0000_t202" style="position:absolute;margin-left:0;margin-top:0;width:214.3pt;height:21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" filled="f" stroked="f" strokeweight=".5pt">
                    <v:textbox style="mso-fit-shape-to-text:t">
                      <w:txbxContent>
                        <w:p w14:paraId="13AE9AE1" w14:textId="77777777" w:rsidR="00A4216E" w:rsidRPr="000356EC" w:rsidRDefault="00A4216E" w:rsidP="00BB34DB">
                          <w:pPr>
                            <w:pStyle w:val="NoSpacing"/>
                            <w:jc w:val="center"/>
                            <w:rPr>
                              <w:rFonts w:ascii="Times New Roman" w:hAnsi="Times New Roman" w:cs="Times New Roman"/>
                              <w:b/>
                              <w:color w:val="1F497D" w:themeColor="text2"/>
                              <w:sz w:val="24"/>
                              <w:szCs w:val="24"/>
                              <w:lang w:val="ro-RO"/>
                            </w:rPr>
                          </w:pPr>
                          <w:r w:rsidRPr="000356EC">
                            <w:rPr>
                              <w:rFonts w:ascii="Times New Roman" w:hAnsi="Times New Roman" w:cs="Times New Roman"/>
                              <w:b/>
                              <w:color w:val="1F497D" w:themeColor="text2"/>
                              <w:sz w:val="24"/>
                              <w:szCs w:val="24"/>
                              <w:lang w:val="ro-RO"/>
                            </w:rPr>
                            <w:t>Observatorul pieței muncii</w:t>
                          </w:r>
                        </w:p>
                      </w:txbxContent>
                    </v:textbox>
                    <w10:wrap type="square" anchorx="page" anchory="page"/>
                  </v:shape>
                </w:pict>
              </mc:Fallback>
            </mc:AlternateContent>
          </w:r>
          <w:r w:rsidRPr="00644D4E">
            <w:rPr>
              <w:lang w:val="ro-RO"/>
            </w:rPr>
            <mc:AlternateContent>
              <mc:Choice Requires="wps">
                <w:drawing>
                  <wp:anchor distT="0" distB="0" distL="114300" distR="114300" simplePos="0" relativeHeight="251663360" behindDoc="1" locked="0" layoutInCell="1" allowOverlap="1" wp14:anchorId="454CEA1D" wp14:editId="32BE23AB">
                    <wp:simplePos x="0" y="0"/>
                    <wp:positionH relativeFrom="page">
                      <wp:align>center</wp:align>
                    </wp:positionH>
                    <wp:positionV relativeFrom="page">
                      <wp:align>center</wp:align>
                    </wp:positionV>
                    <wp:extent cx="7180580" cy="10157460"/>
                    <wp:effectExtent l="0" t="0" r="0" b="0"/>
                    <wp:wrapNone/>
                    <wp:docPr id="466" name="Прямоугольник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80580" cy="1015746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1FF0606A" w14:textId="77777777" w:rsidR="00A4216E" w:rsidRDefault="00A4216E"/>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54CEA1D" id="Прямоугольник 466" o:spid="_x0000_s1028" style="position:absolute;margin-left:0;margin-top:0;width:565.4pt;height:799.8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" fillcolor="#dbe5f1 [660]" stroked="f" strokeweight="2pt">
                    <v:fill color2="#95b3d7 [1940]" rotate="t" focusposition=".5,.5" focussize="" focus="100%" type="gradientRadial"/>
                    <v:textbox inset="21.6pt,,21.6pt">
                      <w:txbxContent>
                        <w:p w14:paraId="1FF0606A" w14:textId="77777777" w:rsidR="00A4216E" w:rsidRDefault="00A4216E"/>
                      </w:txbxContent>
                    </v:textbox>
                    <w10:wrap anchorx="page" anchory="page"/>
                  </v:rect>
                </w:pict>
              </mc:Fallback>
            </mc:AlternateContent>
          </w:r>
          <w:r w:rsidRPr="00644D4E">
            <w:rPr>
              <w:lang w:val="ro-RO"/>
            </w:rPr>
            <mc:AlternateContent>
              <mc:Choice Requires="wps">
                <w:drawing>
                  <wp:anchor distT="0" distB="0" distL="114300" distR="114300" simplePos="0" relativeHeight="251659264" behindDoc="0" locked="0" layoutInCell="1" allowOverlap="1" wp14:anchorId="436B1563" wp14:editId="7E204EA1">
                    <wp:simplePos x="0" y="0"/>
                    <mc:AlternateContent>
                      <mc:Choice Requires="wp14">
                        <wp:positionH relativeFrom="page">
                          <wp14:pctPosHOffset>44000</wp14:pctPosHOffset>
                        </wp:positionH>
                      </mc:Choice>
                      <mc:Fallback>
                        <wp:positionH relativeFrom="page">
                          <wp:posOffset>3326130</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3001645" cy="7463790"/>
                    <wp:effectExtent l="0" t="0" r="5080" b="1905"/>
                    <wp:wrapNone/>
                    <wp:docPr id="468" name="Прямоугольник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1645" cy="746379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6BE7CD64" id="Прямоугольник 468" o:spid="_x0000_s1026" style="position:absolute;margin-left:0;margin-top:0;width:236.35pt;height:587.7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" fillcolor="white [3212]" strokecolor="#938953 [1614]" strokeweight="1.25pt">
                    <v:path arrowok="t"/>
                    <w10:wrap anchorx="page" anchory="page"/>
                  </v:rect>
                </w:pict>
              </mc:Fallback>
            </mc:AlternateContent>
          </w:r>
          <w:r w:rsidRPr="00644D4E">
            <w:rPr>
              <w:lang w:val="ro-RO"/>
            </w:rPr>
            <mc:AlternateContent>
              <mc:Choice Requires="wps">
                <w:drawing>
                  <wp:anchor distT="0" distB="0" distL="114300" distR="114300" simplePos="0" relativeHeight="251662336" behindDoc="0" locked="0" layoutInCell="1" allowOverlap="1" wp14:anchorId="38756442" wp14:editId="0A9415DE">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797175" cy="118745"/>
                    <wp:effectExtent l="0" t="0" r="0" b="0"/>
                    <wp:wrapNone/>
                    <wp:docPr id="469" name="Прямоугольник 4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717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387A33B2" id="Прямоугольник 469" o:spid="_x0000_s1026" style="position:absolute;margin-left:0;margin-top:0;width:220.2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" fillcolor="#4f81bd [3204]" stroked="f" strokeweight="2pt">
                    <v:path arrowok="t"/>
                    <w10:wrap anchorx="page" anchory="page"/>
                  </v:rect>
                </w:pict>
              </mc:Fallback>
            </mc:AlternateContent>
          </w:r>
          <w:r w:rsidRPr="00644D4E">
            <w:rPr>
              <w:lang w:val="ro-RO"/>
            </w:rPr>
            <mc:AlternateContent>
              <mc:Choice Requires="wps">
                <w:drawing>
                  <wp:anchor distT="0" distB="0" distL="114300" distR="114300" simplePos="0" relativeHeight="251661312" behindDoc="0" locked="0" layoutInCell="1" allowOverlap="1" wp14:anchorId="6E17899D" wp14:editId="18072D12">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35000</wp14:pctPosVOffset>
                        </wp:positionV>
                      </mc:Choice>
                      <mc:Fallback>
                        <wp:positionV relativeFrom="page">
                          <wp:posOffset>3742055</wp:posOffset>
                        </wp:positionV>
                      </mc:Fallback>
                    </mc:AlternateContent>
                    <wp:extent cx="2721610" cy="1793240"/>
                    <wp:effectExtent l="0" t="0" r="0" b="0"/>
                    <wp:wrapSquare wrapText="bothSides"/>
                    <wp:docPr id="470" name="Текстовое поле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1610" cy="1793240"/>
                            </a:xfrm>
                            <a:prstGeom prst="rect">
                              <a:avLst/>
                            </a:prstGeom>
                            <a:noFill/>
                            <a:ln w="6350">
                              <a:noFill/>
                            </a:ln>
                            <a:effectLst/>
                          </wps:spPr>
                          <wps:txbx>
                            <w:txbxContent>
                              <w:p w14:paraId="5FCC3982" w14:textId="77777777" w:rsidR="00A4216E" w:rsidRPr="00BB34DB" w:rsidRDefault="00A4216E" w:rsidP="00BB34DB">
                                <w:pPr>
                                  <w:pStyle w:val="ListParagraph"/>
                                  <w:spacing w:line="276" w:lineRule="auto"/>
                                  <w:ind w:left="360"/>
                                  <w:contextualSpacing w:val="0"/>
                                  <w:jc w:val="center"/>
                                  <w:rPr>
                                    <w:rFonts w:ascii="Times New Roman" w:eastAsia="Times New Roman" w:hAnsi="Times New Roman" w:cs="Times New Roman"/>
                                    <w:b/>
                                    <w:bCs/>
                                    <w:color w:val="1F497D" w:themeColor="text2"/>
                                    <w:sz w:val="36"/>
                                    <w:szCs w:val="36"/>
                                    <w:lang w:val="ro-RO"/>
                                  </w:rPr>
                                </w:pPr>
                                <w:r w:rsidRPr="00BB34DB">
                                  <w:rPr>
                                    <w:rFonts w:ascii="Times New Roman" w:eastAsia="Times New Roman" w:hAnsi="Times New Roman" w:cs="Times New Roman"/>
                                    <w:b/>
                                    <w:bCs/>
                                    <w:color w:val="1F497D" w:themeColor="text2"/>
                                    <w:sz w:val="36"/>
                                    <w:szCs w:val="36"/>
                                    <w:lang w:val="ro-RO"/>
                                  </w:rPr>
                                  <w:t>Raport analitic privind ocuparea forței de muncă și tendințele pieței muncii 20</w:t>
                                </w:r>
                                <w:r>
                                  <w:rPr>
                                    <w:rFonts w:ascii="Times New Roman" w:eastAsia="Times New Roman" w:hAnsi="Times New Roman" w:cs="Times New Roman"/>
                                    <w:b/>
                                    <w:bCs/>
                                    <w:color w:val="1F497D" w:themeColor="text2"/>
                                    <w:sz w:val="36"/>
                                    <w:szCs w:val="36"/>
                                    <w:lang w:val="ro-RO"/>
                                  </w:rPr>
                                  <w:t>23</w:t>
                                </w:r>
                              </w:p>
                              <w:p w14:paraId="38C70F76" w14:textId="77777777" w:rsidR="00A4216E" w:rsidRPr="00BB34DB" w:rsidRDefault="00A4216E">
                                <w:pPr>
                                  <w:rPr>
                                    <w:rFonts w:asciiTheme="majorHAnsi" w:eastAsiaTheme="majorEastAsia" w:hAnsiTheme="majorHAnsi" w:cstheme="majorBidi"/>
                                    <w:color w:val="1F497D" w:themeColor="text2"/>
                                    <w:sz w:val="36"/>
                                    <w:szCs w:val="36"/>
                                    <w:lang w:val="ro-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 w14:anchorId="6E17899D" id="Текстовое поле 470" o:spid="_x0000_s1029" type="#_x0000_t202" style="position:absolute;margin-left:0;margin-top:0;width:214.3pt;height:141.2pt;z-index:25166131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" filled="f" stroked="f" strokeweight=".5pt">
                    <v:textbox style="mso-fit-shape-to-text:t">
                      <w:txbxContent>
                        <w:p w14:paraId="5FCC3982" w14:textId="77777777" w:rsidR="00A4216E" w:rsidRPr="00BB34DB" w:rsidRDefault="00A4216E" w:rsidP="00BB34DB">
                          <w:pPr>
                            <w:pStyle w:val="ListParagraph"/>
                            <w:spacing w:line="276" w:lineRule="auto"/>
                            <w:ind w:left="360"/>
                            <w:contextualSpacing w:val="0"/>
                            <w:jc w:val="center"/>
                            <w:rPr>
                              <w:rFonts w:ascii="Times New Roman" w:eastAsia="Times New Roman" w:hAnsi="Times New Roman" w:cs="Times New Roman"/>
                              <w:b/>
                              <w:bCs/>
                              <w:color w:val="1F497D" w:themeColor="text2"/>
                              <w:sz w:val="36"/>
                              <w:szCs w:val="36"/>
                              <w:lang w:val="ro-RO"/>
                            </w:rPr>
                          </w:pPr>
                          <w:r w:rsidRPr="00BB34DB">
                            <w:rPr>
                              <w:rFonts w:ascii="Times New Roman" w:eastAsia="Times New Roman" w:hAnsi="Times New Roman" w:cs="Times New Roman"/>
                              <w:b/>
                              <w:bCs/>
                              <w:color w:val="1F497D" w:themeColor="text2"/>
                              <w:sz w:val="36"/>
                              <w:szCs w:val="36"/>
                              <w:lang w:val="ro-RO"/>
                            </w:rPr>
                            <w:t>Raport analitic privind ocuparea forței de muncă și tendințele pieței muncii 20</w:t>
                          </w:r>
                          <w:r>
                            <w:rPr>
                              <w:rFonts w:ascii="Times New Roman" w:eastAsia="Times New Roman" w:hAnsi="Times New Roman" w:cs="Times New Roman"/>
                              <w:b/>
                              <w:bCs/>
                              <w:color w:val="1F497D" w:themeColor="text2"/>
                              <w:sz w:val="36"/>
                              <w:szCs w:val="36"/>
                              <w:lang w:val="ro-RO"/>
                            </w:rPr>
                            <w:t>23</w:t>
                          </w:r>
                        </w:p>
                        <w:p w14:paraId="38C70F76" w14:textId="77777777" w:rsidR="00A4216E" w:rsidRPr="00BB34DB" w:rsidRDefault="00A4216E">
                          <w:pPr>
                            <w:rPr>
                              <w:rFonts w:asciiTheme="majorHAnsi" w:eastAsiaTheme="majorEastAsia" w:hAnsiTheme="majorHAnsi" w:cstheme="majorBidi"/>
                              <w:color w:val="1F497D" w:themeColor="text2"/>
                              <w:sz w:val="36"/>
                              <w:szCs w:val="36"/>
                              <w:lang w:val="ro-RO"/>
                            </w:rPr>
                          </w:pPr>
                        </w:p>
                      </w:txbxContent>
                    </v:textbox>
                    <w10:wrap type="square" anchorx="page" anchory="page"/>
                  </v:shape>
                </w:pict>
              </mc:Fallback>
            </mc:AlternateContent>
          </w:r>
        </w:p>
        <w:p w14:paraId="50EE6000" w14:textId="77777777" w:rsidR="00BB34DB" w:rsidRPr="00644D4E" w:rsidRDefault="00BB34DB">
          <w:pPr>
            <w:spacing w:after="200" w:line="276" w:lineRule="auto"/>
            <w:rPr>
              <w:rFonts w:ascii="Times New Roman" w:eastAsia="Times New Roman" w:hAnsi="Times New Roman" w:cs="Times New Roman"/>
              <w:b/>
              <w:bCs/>
              <w:sz w:val="26"/>
              <w:szCs w:val="26"/>
              <w:lang w:val="ro-RO" w:eastAsia="en-GB"/>
            </w:rPr>
          </w:pPr>
          <w:r w:rsidRPr="00644D4E">
            <w:rPr>
              <w:rFonts w:ascii="Times New Roman" w:eastAsia="Times New Roman" w:hAnsi="Times New Roman" w:cs="Times New Roman"/>
              <w:b/>
              <w:bCs/>
              <w:sz w:val="26"/>
              <w:szCs w:val="26"/>
              <w:lang w:val="ro-RO"/>
            </w:rPr>
            <w:br w:type="page"/>
          </w:r>
        </w:p>
      </w:sdtContent>
    </w:sdt>
    <w:p w14:paraId="63E5B843" w14:textId="77777777" w:rsidR="001C3B11" w:rsidRPr="00644D4E" w:rsidRDefault="009A5C90" w:rsidP="00877992">
      <w:pPr>
        <w:pStyle w:val="TOCHeading"/>
        <w:jc w:val="center"/>
        <w:rPr>
          <w:rFonts w:ascii="Times New Roman" w:eastAsia="Times New Roman" w:hAnsi="Times New Roman" w:cs="Times New Roman"/>
          <w:b/>
          <w:bCs/>
          <w:color w:val="auto"/>
          <w:sz w:val="26"/>
          <w:szCs w:val="26"/>
          <w:lang w:val="ro-RO"/>
        </w:rPr>
      </w:pPr>
      <w:r w:rsidRPr="00644D4E">
        <w:rPr>
          <w:rFonts w:ascii="Times New Roman" w:eastAsia="Times New Roman" w:hAnsi="Times New Roman" w:cs="Times New Roman"/>
          <w:b/>
          <w:bCs/>
          <w:color w:val="auto"/>
          <w:sz w:val="26"/>
          <w:szCs w:val="26"/>
          <w:lang w:val="ro-RO"/>
        </w:rPr>
        <w:lastRenderedPageBreak/>
        <w:t xml:space="preserve"> </w:t>
      </w:r>
      <w:r w:rsidR="000523FD" w:rsidRPr="00644D4E">
        <w:rPr>
          <w:rFonts w:ascii="Times New Roman" w:eastAsia="Times New Roman" w:hAnsi="Times New Roman" w:cs="Times New Roman"/>
          <w:b/>
          <w:bCs/>
          <w:color w:val="auto"/>
          <w:sz w:val="26"/>
          <w:szCs w:val="26"/>
          <w:lang w:val="ro-RO"/>
        </w:rPr>
        <w:t xml:space="preserve">  </w:t>
      </w:r>
      <w:r w:rsidR="00CA0A49" w:rsidRPr="00644D4E">
        <w:rPr>
          <w:rFonts w:ascii="Times New Roman" w:eastAsia="Times New Roman" w:hAnsi="Times New Roman" w:cs="Times New Roman"/>
          <w:b/>
          <w:bCs/>
          <w:color w:val="auto"/>
          <w:sz w:val="26"/>
          <w:szCs w:val="26"/>
          <w:lang w:val="ro-RO"/>
        </w:rPr>
        <w:t xml:space="preserve"> </w:t>
      </w:r>
    </w:p>
    <w:sdt>
      <w:sdtPr>
        <w:rPr>
          <w:rFonts w:eastAsiaTheme="minorHAnsi"/>
          <w:lang w:val="ro-RO" w:eastAsia="en-US"/>
        </w:rPr>
        <w:id w:val="1189867979"/>
        <w:docPartObj>
          <w:docPartGallery w:val="Table of Contents"/>
          <w:docPartUnique/>
        </w:docPartObj>
      </w:sdtPr>
      <w:sdtEndPr>
        <w:rPr>
          <w:rFonts w:ascii="Times New Roman" w:hAnsi="Times New Roman" w:cs="Times New Roman"/>
          <w:b/>
          <w:bCs/>
        </w:rPr>
      </w:sdtEndPr>
      <w:sdtContent>
        <w:p w14:paraId="7EDAE17D" w14:textId="77777777" w:rsidR="009F6599" w:rsidRPr="00644D4E" w:rsidRDefault="00877992" w:rsidP="001C3B11">
          <w:pPr>
            <w:pStyle w:val="ListParagraph"/>
            <w:spacing w:line="276" w:lineRule="auto"/>
            <w:ind w:left="360"/>
            <w:contextualSpacing w:val="0"/>
            <w:jc w:val="center"/>
            <w:rPr>
              <w:rFonts w:ascii="Times New Roman" w:hAnsi="Times New Roman" w:cs="Times New Roman"/>
              <w:b/>
              <w:sz w:val="26"/>
              <w:szCs w:val="26"/>
              <w:lang w:val="ro-RO"/>
            </w:rPr>
          </w:pPr>
          <w:r w:rsidRPr="00644D4E">
            <w:rPr>
              <w:rFonts w:ascii="Times New Roman" w:hAnsi="Times New Roman" w:cs="Times New Roman"/>
              <w:b/>
              <w:sz w:val="26"/>
              <w:szCs w:val="26"/>
              <w:lang w:val="ro-RO"/>
            </w:rPr>
            <w:t>Cuprins</w:t>
          </w:r>
        </w:p>
        <w:p w14:paraId="2E0981FB" w14:textId="77777777" w:rsidR="009F6D03" w:rsidRPr="00644D4E" w:rsidRDefault="009F6D03" w:rsidP="009F6D03">
          <w:pPr>
            <w:rPr>
              <w:lang w:val="ro-RO" w:eastAsia="en-GB"/>
            </w:rPr>
          </w:pPr>
        </w:p>
        <w:p w14:paraId="3DCC408B" w14:textId="77777777" w:rsidR="0000652A" w:rsidRPr="00644D4E" w:rsidRDefault="009F6599">
          <w:pPr>
            <w:pStyle w:val="TOC1"/>
            <w:rPr>
              <w:rFonts w:asciiTheme="minorHAnsi" w:eastAsiaTheme="minorEastAsia" w:hAnsiTheme="minorHAnsi" w:cstheme="minorBidi"/>
              <w:b w:val="0"/>
              <w:noProof w:val="0"/>
              <w:lang w:val="ro-RO" w:eastAsia="ru-RU"/>
            </w:rPr>
          </w:pPr>
          <w:r w:rsidRPr="00644D4E">
            <w:rPr>
              <w:noProof w:val="0"/>
              <w:lang w:val="ro-RO"/>
            </w:rPr>
            <w:fldChar w:fldCharType="begin"/>
          </w:r>
          <w:r w:rsidRPr="00644D4E">
            <w:rPr>
              <w:noProof w:val="0"/>
              <w:lang w:val="ro-RO"/>
            </w:rPr>
            <w:instrText xml:space="preserve"> TOC \o "1-3" \h \z \u </w:instrText>
          </w:r>
          <w:r w:rsidRPr="00644D4E">
            <w:rPr>
              <w:noProof w:val="0"/>
              <w:lang w:val="ro-RO"/>
            </w:rPr>
            <w:fldChar w:fldCharType="separate"/>
          </w:r>
          <w:hyperlink w:anchor="_Toc138064730" w:history="1">
            <w:r w:rsidR="0000652A" w:rsidRPr="00644D4E">
              <w:rPr>
                <w:rStyle w:val="Hyperlink"/>
                <w:noProof w:val="0"/>
                <w:color w:val="auto"/>
                <w:lang w:val="ro-RO"/>
              </w:rPr>
              <w:t>Capitolul I. Prezentare generală a contextului macroeconomic</w:t>
            </w:r>
            <w:r w:rsidR="0000652A" w:rsidRPr="00644D4E">
              <w:rPr>
                <w:b w:val="0"/>
                <w:noProof w:val="0"/>
                <w:webHidden/>
                <w:lang w:val="ro-RO"/>
              </w:rPr>
              <w:tab/>
            </w:r>
            <w:r w:rsidR="0000652A" w:rsidRPr="00644D4E">
              <w:rPr>
                <w:b w:val="0"/>
                <w:noProof w:val="0"/>
                <w:webHidden/>
                <w:lang w:val="ro-RO"/>
              </w:rPr>
              <w:fldChar w:fldCharType="begin"/>
            </w:r>
            <w:r w:rsidR="0000652A" w:rsidRPr="00644D4E">
              <w:rPr>
                <w:b w:val="0"/>
                <w:noProof w:val="0"/>
                <w:webHidden/>
                <w:lang w:val="ro-RO"/>
              </w:rPr>
              <w:instrText xml:space="preserve"> PAGEREF _Toc138064730 \h </w:instrText>
            </w:r>
            <w:r w:rsidR="0000652A" w:rsidRPr="00644D4E">
              <w:rPr>
                <w:b w:val="0"/>
                <w:noProof w:val="0"/>
                <w:webHidden/>
                <w:lang w:val="ro-RO"/>
              </w:rPr>
            </w:r>
            <w:r w:rsidR="0000652A" w:rsidRPr="00644D4E">
              <w:rPr>
                <w:b w:val="0"/>
                <w:noProof w:val="0"/>
                <w:webHidden/>
                <w:lang w:val="ro-RO"/>
              </w:rPr>
              <w:fldChar w:fldCharType="separate"/>
            </w:r>
            <w:r w:rsidR="00DB70B5" w:rsidRPr="00644D4E">
              <w:rPr>
                <w:b w:val="0"/>
                <w:noProof w:val="0"/>
                <w:webHidden/>
                <w:lang w:val="ro-RO"/>
              </w:rPr>
              <w:t>3</w:t>
            </w:r>
            <w:r w:rsidR="0000652A" w:rsidRPr="00644D4E">
              <w:rPr>
                <w:b w:val="0"/>
                <w:noProof w:val="0"/>
                <w:webHidden/>
                <w:lang w:val="ro-RO"/>
              </w:rPr>
              <w:fldChar w:fldCharType="end"/>
            </w:r>
          </w:hyperlink>
        </w:p>
        <w:p w14:paraId="5FD4DD7A" w14:textId="77777777" w:rsidR="0000652A" w:rsidRPr="00644D4E" w:rsidRDefault="00000000">
          <w:pPr>
            <w:pStyle w:val="TOC2"/>
            <w:rPr>
              <w:rFonts w:asciiTheme="minorHAnsi" w:eastAsiaTheme="minorEastAsia" w:hAnsiTheme="minorHAnsi" w:cstheme="minorBidi"/>
              <w:noProof w:val="0"/>
              <w:lang w:val="ro-RO" w:eastAsia="ru-RU"/>
            </w:rPr>
          </w:pPr>
          <w:hyperlink w:anchor="_Toc138064731" w:history="1">
            <w:r w:rsidR="0000652A" w:rsidRPr="00644D4E">
              <w:rPr>
                <w:rStyle w:val="Hyperlink"/>
                <w:noProof w:val="0"/>
                <w:color w:val="auto"/>
                <w:lang w:val="ro-RO"/>
              </w:rPr>
              <w:t>Indicatori macroeconomici</w:t>
            </w:r>
            <w:r w:rsidR="0000652A" w:rsidRPr="00644D4E">
              <w:rPr>
                <w:noProof w:val="0"/>
                <w:webHidden/>
                <w:lang w:val="ro-RO"/>
              </w:rPr>
              <w:tab/>
            </w:r>
            <w:r w:rsidR="0000652A" w:rsidRPr="00644D4E">
              <w:rPr>
                <w:noProof w:val="0"/>
                <w:webHidden/>
                <w:lang w:val="ro-RO"/>
              </w:rPr>
              <w:fldChar w:fldCharType="begin"/>
            </w:r>
            <w:r w:rsidR="0000652A" w:rsidRPr="00644D4E">
              <w:rPr>
                <w:noProof w:val="0"/>
                <w:webHidden/>
                <w:lang w:val="ro-RO"/>
              </w:rPr>
              <w:instrText xml:space="preserve"> PAGEREF _Toc138064731 \h </w:instrText>
            </w:r>
            <w:r w:rsidR="0000652A" w:rsidRPr="00644D4E">
              <w:rPr>
                <w:noProof w:val="0"/>
                <w:webHidden/>
                <w:lang w:val="ro-RO"/>
              </w:rPr>
            </w:r>
            <w:r w:rsidR="0000652A" w:rsidRPr="00644D4E">
              <w:rPr>
                <w:noProof w:val="0"/>
                <w:webHidden/>
                <w:lang w:val="ro-RO"/>
              </w:rPr>
              <w:fldChar w:fldCharType="separate"/>
            </w:r>
            <w:r w:rsidR="00DB70B5" w:rsidRPr="00644D4E">
              <w:rPr>
                <w:noProof w:val="0"/>
                <w:webHidden/>
                <w:lang w:val="ro-RO"/>
              </w:rPr>
              <w:t>3</w:t>
            </w:r>
            <w:r w:rsidR="0000652A" w:rsidRPr="00644D4E">
              <w:rPr>
                <w:noProof w:val="0"/>
                <w:webHidden/>
                <w:lang w:val="ro-RO"/>
              </w:rPr>
              <w:fldChar w:fldCharType="end"/>
            </w:r>
          </w:hyperlink>
        </w:p>
        <w:p w14:paraId="04416804" w14:textId="77777777" w:rsidR="0000652A" w:rsidRPr="00644D4E" w:rsidRDefault="00000000">
          <w:pPr>
            <w:pStyle w:val="TOC1"/>
            <w:rPr>
              <w:rFonts w:asciiTheme="minorHAnsi" w:eastAsiaTheme="minorEastAsia" w:hAnsiTheme="minorHAnsi" w:cstheme="minorBidi"/>
              <w:b w:val="0"/>
              <w:noProof w:val="0"/>
              <w:lang w:val="ro-RO" w:eastAsia="ru-RU"/>
            </w:rPr>
          </w:pPr>
          <w:hyperlink w:anchor="_Toc138064733" w:history="1">
            <w:r w:rsidR="0000652A" w:rsidRPr="00644D4E">
              <w:rPr>
                <w:rStyle w:val="Hyperlink"/>
                <w:noProof w:val="0"/>
                <w:color w:val="auto"/>
                <w:lang w:val="ro-RO"/>
              </w:rPr>
              <w:t>Capitolul II. Piața forței de muncă (conform datelor BNS)</w:t>
            </w:r>
            <w:r w:rsidR="0000652A" w:rsidRPr="00644D4E">
              <w:rPr>
                <w:b w:val="0"/>
                <w:noProof w:val="0"/>
                <w:webHidden/>
                <w:lang w:val="ro-RO"/>
              </w:rPr>
              <w:tab/>
            </w:r>
            <w:r w:rsidR="0000652A" w:rsidRPr="00644D4E">
              <w:rPr>
                <w:b w:val="0"/>
                <w:noProof w:val="0"/>
                <w:webHidden/>
                <w:lang w:val="ro-RO"/>
              </w:rPr>
              <w:fldChar w:fldCharType="begin"/>
            </w:r>
            <w:r w:rsidR="0000652A" w:rsidRPr="00644D4E">
              <w:rPr>
                <w:b w:val="0"/>
                <w:noProof w:val="0"/>
                <w:webHidden/>
                <w:lang w:val="ro-RO"/>
              </w:rPr>
              <w:instrText xml:space="preserve"> PAGEREF _Toc138064733 \h </w:instrText>
            </w:r>
            <w:r w:rsidR="0000652A" w:rsidRPr="00644D4E">
              <w:rPr>
                <w:b w:val="0"/>
                <w:noProof w:val="0"/>
                <w:webHidden/>
                <w:lang w:val="ro-RO"/>
              </w:rPr>
            </w:r>
            <w:r w:rsidR="0000652A" w:rsidRPr="00644D4E">
              <w:rPr>
                <w:b w:val="0"/>
                <w:noProof w:val="0"/>
                <w:webHidden/>
                <w:lang w:val="ro-RO"/>
              </w:rPr>
              <w:fldChar w:fldCharType="separate"/>
            </w:r>
            <w:r w:rsidR="00DB70B5" w:rsidRPr="00644D4E">
              <w:rPr>
                <w:b w:val="0"/>
                <w:noProof w:val="0"/>
                <w:webHidden/>
                <w:lang w:val="ro-RO"/>
              </w:rPr>
              <w:t>4</w:t>
            </w:r>
            <w:r w:rsidR="0000652A" w:rsidRPr="00644D4E">
              <w:rPr>
                <w:b w:val="0"/>
                <w:noProof w:val="0"/>
                <w:webHidden/>
                <w:lang w:val="ro-RO"/>
              </w:rPr>
              <w:fldChar w:fldCharType="end"/>
            </w:r>
          </w:hyperlink>
        </w:p>
        <w:p w14:paraId="5C401AFF" w14:textId="77777777" w:rsidR="0000652A" w:rsidRPr="00644D4E" w:rsidRDefault="00000000">
          <w:pPr>
            <w:pStyle w:val="TOC2"/>
            <w:rPr>
              <w:rFonts w:asciiTheme="minorHAnsi" w:eastAsiaTheme="minorEastAsia" w:hAnsiTheme="minorHAnsi" w:cstheme="minorBidi"/>
              <w:noProof w:val="0"/>
              <w:lang w:val="ro-RO" w:eastAsia="ru-RU"/>
            </w:rPr>
          </w:pPr>
          <w:hyperlink w:anchor="_Toc138064734" w:history="1">
            <w:r w:rsidR="0000652A" w:rsidRPr="00644D4E">
              <w:rPr>
                <w:rStyle w:val="Hyperlink"/>
                <w:noProof w:val="0"/>
                <w:color w:val="auto"/>
                <w:lang w:val="ro-RO"/>
              </w:rPr>
              <w:t>2.1. Caracteristicile demografice ale populației</w:t>
            </w:r>
            <w:r w:rsidR="0000652A" w:rsidRPr="00644D4E">
              <w:rPr>
                <w:noProof w:val="0"/>
                <w:webHidden/>
                <w:lang w:val="ro-RO"/>
              </w:rPr>
              <w:tab/>
            </w:r>
            <w:r w:rsidR="0000652A" w:rsidRPr="00644D4E">
              <w:rPr>
                <w:noProof w:val="0"/>
                <w:webHidden/>
                <w:lang w:val="ro-RO"/>
              </w:rPr>
              <w:fldChar w:fldCharType="begin"/>
            </w:r>
            <w:r w:rsidR="0000652A" w:rsidRPr="00644D4E">
              <w:rPr>
                <w:noProof w:val="0"/>
                <w:webHidden/>
                <w:lang w:val="ro-RO"/>
              </w:rPr>
              <w:instrText xml:space="preserve"> PAGEREF _Toc138064734 \h </w:instrText>
            </w:r>
            <w:r w:rsidR="0000652A" w:rsidRPr="00644D4E">
              <w:rPr>
                <w:noProof w:val="0"/>
                <w:webHidden/>
                <w:lang w:val="ro-RO"/>
              </w:rPr>
            </w:r>
            <w:r w:rsidR="0000652A" w:rsidRPr="00644D4E">
              <w:rPr>
                <w:noProof w:val="0"/>
                <w:webHidden/>
                <w:lang w:val="ro-RO"/>
              </w:rPr>
              <w:fldChar w:fldCharType="separate"/>
            </w:r>
            <w:r w:rsidR="00DB70B5" w:rsidRPr="00644D4E">
              <w:rPr>
                <w:noProof w:val="0"/>
                <w:webHidden/>
                <w:lang w:val="ro-RO"/>
              </w:rPr>
              <w:t>4</w:t>
            </w:r>
            <w:r w:rsidR="0000652A" w:rsidRPr="00644D4E">
              <w:rPr>
                <w:noProof w:val="0"/>
                <w:webHidden/>
                <w:lang w:val="ro-RO"/>
              </w:rPr>
              <w:fldChar w:fldCharType="end"/>
            </w:r>
          </w:hyperlink>
        </w:p>
        <w:p w14:paraId="225895A9" w14:textId="77777777" w:rsidR="0000652A" w:rsidRPr="00644D4E" w:rsidRDefault="00000000">
          <w:pPr>
            <w:pStyle w:val="TOC2"/>
            <w:rPr>
              <w:rFonts w:asciiTheme="minorHAnsi" w:eastAsiaTheme="minorEastAsia" w:hAnsiTheme="minorHAnsi" w:cstheme="minorBidi"/>
              <w:noProof w:val="0"/>
              <w:lang w:val="ro-RO" w:eastAsia="ru-RU"/>
            </w:rPr>
          </w:pPr>
          <w:hyperlink w:anchor="_Toc138064735" w:history="1">
            <w:r w:rsidR="0000652A" w:rsidRPr="00644D4E">
              <w:rPr>
                <w:rStyle w:val="Hyperlink"/>
                <w:noProof w:val="0"/>
                <w:color w:val="auto"/>
                <w:lang w:val="ro-RO"/>
              </w:rPr>
              <w:t>2.2.  Piața forței de muncă conform indicatorilor ocupaționali</w:t>
            </w:r>
            <w:r w:rsidR="0000652A" w:rsidRPr="00644D4E">
              <w:rPr>
                <w:noProof w:val="0"/>
                <w:webHidden/>
                <w:lang w:val="ro-RO"/>
              </w:rPr>
              <w:tab/>
            </w:r>
            <w:r w:rsidR="0000652A" w:rsidRPr="00644D4E">
              <w:rPr>
                <w:noProof w:val="0"/>
                <w:webHidden/>
                <w:lang w:val="ro-RO"/>
              </w:rPr>
              <w:fldChar w:fldCharType="begin"/>
            </w:r>
            <w:r w:rsidR="0000652A" w:rsidRPr="00644D4E">
              <w:rPr>
                <w:noProof w:val="0"/>
                <w:webHidden/>
                <w:lang w:val="ro-RO"/>
              </w:rPr>
              <w:instrText xml:space="preserve"> PAGEREF _Toc138064735 \h </w:instrText>
            </w:r>
            <w:r w:rsidR="0000652A" w:rsidRPr="00644D4E">
              <w:rPr>
                <w:noProof w:val="0"/>
                <w:webHidden/>
                <w:lang w:val="ro-RO"/>
              </w:rPr>
            </w:r>
            <w:r w:rsidR="0000652A" w:rsidRPr="00644D4E">
              <w:rPr>
                <w:noProof w:val="0"/>
                <w:webHidden/>
                <w:lang w:val="ro-RO"/>
              </w:rPr>
              <w:fldChar w:fldCharType="separate"/>
            </w:r>
            <w:r w:rsidR="00DB70B5" w:rsidRPr="00644D4E">
              <w:rPr>
                <w:noProof w:val="0"/>
                <w:webHidden/>
                <w:lang w:val="ro-RO"/>
              </w:rPr>
              <w:t>5</w:t>
            </w:r>
            <w:r w:rsidR="0000652A" w:rsidRPr="00644D4E">
              <w:rPr>
                <w:noProof w:val="0"/>
                <w:webHidden/>
                <w:lang w:val="ro-RO"/>
              </w:rPr>
              <w:fldChar w:fldCharType="end"/>
            </w:r>
          </w:hyperlink>
        </w:p>
        <w:p w14:paraId="3B7232E3" w14:textId="77777777" w:rsidR="0000652A" w:rsidRPr="00644D4E" w:rsidRDefault="00000000">
          <w:pPr>
            <w:pStyle w:val="TOC3"/>
            <w:rPr>
              <w:rFonts w:asciiTheme="minorHAnsi" w:eastAsiaTheme="minorEastAsia" w:hAnsiTheme="minorHAnsi" w:cstheme="minorBidi"/>
              <w:noProof w:val="0"/>
              <w:sz w:val="24"/>
              <w:szCs w:val="24"/>
              <w:lang w:val="ro-RO" w:eastAsia="ru-RU"/>
            </w:rPr>
          </w:pPr>
          <w:hyperlink w:anchor="_Toc138064736" w:history="1">
            <w:r w:rsidR="0000652A" w:rsidRPr="00644D4E">
              <w:rPr>
                <w:rStyle w:val="Hyperlink"/>
                <w:noProof w:val="0"/>
                <w:color w:val="auto"/>
                <w:sz w:val="24"/>
                <w:szCs w:val="24"/>
                <w:lang w:val="ro-RO"/>
              </w:rPr>
              <w:t xml:space="preserve">2.2.1. </w:t>
            </w:r>
            <w:r w:rsidR="0000652A" w:rsidRPr="00644D4E">
              <w:rPr>
                <w:rStyle w:val="Hyperlink"/>
                <w:i/>
                <w:noProof w:val="0"/>
                <w:color w:val="auto"/>
                <w:sz w:val="24"/>
                <w:szCs w:val="24"/>
                <w:lang w:val="ro-RO"/>
              </w:rPr>
              <w:t>Populația de 15 ani și peste după participarea la activitatea economică</w:t>
            </w:r>
            <w:r w:rsidR="0000652A" w:rsidRPr="00644D4E">
              <w:rPr>
                <w:noProof w:val="0"/>
                <w:webHidden/>
                <w:sz w:val="24"/>
                <w:szCs w:val="24"/>
                <w:lang w:val="ro-RO"/>
              </w:rPr>
              <w:tab/>
            </w:r>
            <w:r w:rsidR="0000652A" w:rsidRPr="00644D4E">
              <w:rPr>
                <w:noProof w:val="0"/>
                <w:webHidden/>
                <w:sz w:val="24"/>
                <w:szCs w:val="24"/>
                <w:lang w:val="ro-RO"/>
              </w:rPr>
              <w:fldChar w:fldCharType="begin"/>
            </w:r>
            <w:r w:rsidR="0000652A" w:rsidRPr="00644D4E">
              <w:rPr>
                <w:noProof w:val="0"/>
                <w:webHidden/>
                <w:sz w:val="24"/>
                <w:szCs w:val="24"/>
                <w:lang w:val="ro-RO"/>
              </w:rPr>
              <w:instrText xml:space="preserve"> PAGEREF _Toc138064736 \h </w:instrText>
            </w:r>
            <w:r w:rsidR="0000652A" w:rsidRPr="00644D4E">
              <w:rPr>
                <w:noProof w:val="0"/>
                <w:webHidden/>
                <w:sz w:val="24"/>
                <w:szCs w:val="24"/>
                <w:lang w:val="ro-RO"/>
              </w:rPr>
            </w:r>
            <w:r w:rsidR="0000652A" w:rsidRPr="00644D4E">
              <w:rPr>
                <w:noProof w:val="0"/>
                <w:webHidden/>
                <w:sz w:val="24"/>
                <w:szCs w:val="24"/>
                <w:lang w:val="ro-RO"/>
              </w:rPr>
              <w:fldChar w:fldCharType="separate"/>
            </w:r>
            <w:r w:rsidR="00DB70B5" w:rsidRPr="00644D4E">
              <w:rPr>
                <w:noProof w:val="0"/>
                <w:webHidden/>
                <w:sz w:val="24"/>
                <w:szCs w:val="24"/>
                <w:lang w:val="ro-RO"/>
              </w:rPr>
              <w:t>5</w:t>
            </w:r>
            <w:r w:rsidR="0000652A" w:rsidRPr="00644D4E">
              <w:rPr>
                <w:noProof w:val="0"/>
                <w:webHidden/>
                <w:sz w:val="24"/>
                <w:szCs w:val="24"/>
                <w:lang w:val="ro-RO"/>
              </w:rPr>
              <w:fldChar w:fldCharType="end"/>
            </w:r>
          </w:hyperlink>
        </w:p>
        <w:p w14:paraId="2716F4AD" w14:textId="77777777" w:rsidR="0000652A" w:rsidRPr="00644D4E" w:rsidRDefault="00000000">
          <w:pPr>
            <w:pStyle w:val="TOC3"/>
            <w:rPr>
              <w:rFonts w:asciiTheme="minorHAnsi" w:eastAsiaTheme="minorEastAsia" w:hAnsiTheme="minorHAnsi" w:cstheme="minorBidi"/>
              <w:noProof w:val="0"/>
              <w:sz w:val="24"/>
              <w:szCs w:val="24"/>
              <w:lang w:val="ro-RO" w:eastAsia="ru-RU"/>
            </w:rPr>
          </w:pPr>
          <w:hyperlink w:anchor="_Toc138064738" w:history="1">
            <w:r w:rsidR="0000652A" w:rsidRPr="00644D4E">
              <w:rPr>
                <w:rStyle w:val="Hyperlink"/>
                <w:noProof w:val="0"/>
                <w:color w:val="auto"/>
                <w:sz w:val="24"/>
                <w:szCs w:val="24"/>
                <w:lang w:val="ro-RO"/>
              </w:rPr>
              <w:t xml:space="preserve">2.2.2. </w:t>
            </w:r>
            <w:r w:rsidR="0000652A" w:rsidRPr="00644D4E">
              <w:rPr>
                <w:rStyle w:val="Hyperlink"/>
                <w:i/>
                <w:noProof w:val="0"/>
                <w:color w:val="auto"/>
                <w:sz w:val="24"/>
                <w:szCs w:val="24"/>
                <w:lang w:val="ro-RO"/>
              </w:rPr>
              <w:t>Populația în afara forței de muncă</w:t>
            </w:r>
            <w:r w:rsidR="0000652A" w:rsidRPr="00644D4E">
              <w:rPr>
                <w:rStyle w:val="Hyperlink"/>
                <w:noProof w:val="0"/>
                <w:color w:val="auto"/>
                <w:sz w:val="24"/>
                <w:szCs w:val="24"/>
                <w:lang w:val="ro-RO"/>
              </w:rPr>
              <w:t>.</w:t>
            </w:r>
            <w:r w:rsidR="0000652A" w:rsidRPr="00644D4E">
              <w:rPr>
                <w:noProof w:val="0"/>
                <w:webHidden/>
                <w:sz w:val="24"/>
                <w:szCs w:val="24"/>
                <w:lang w:val="ro-RO"/>
              </w:rPr>
              <w:tab/>
            </w:r>
            <w:r w:rsidR="0000652A" w:rsidRPr="00644D4E">
              <w:rPr>
                <w:noProof w:val="0"/>
                <w:webHidden/>
                <w:sz w:val="24"/>
                <w:szCs w:val="24"/>
                <w:lang w:val="ro-RO"/>
              </w:rPr>
              <w:fldChar w:fldCharType="begin"/>
            </w:r>
            <w:r w:rsidR="0000652A" w:rsidRPr="00644D4E">
              <w:rPr>
                <w:noProof w:val="0"/>
                <w:webHidden/>
                <w:sz w:val="24"/>
                <w:szCs w:val="24"/>
                <w:lang w:val="ro-RO"/>
              </w:rPr>
              <w:instrText xml:space="preserve"> PAGEREF _Toc138064738 \h </w:instrText>
            </w:r>
            <w:r w:rsidR="0000652A" w:rsidRPr="00644D4E">
              <w:rPr>
                <w:noProof w:val="0"/>
                <w:webHidden/>
                <w:sz w:val="24"/>
                <w:szCs w:val="24"/>
                <w:lang w:val="ro-RO"/>
              </w:rPr>
            </w:r>
            <w:r w:rsidR="0000652A" w:rsidRPr="00644D4E">
              <w:rPr>
                <w:noProof w:val="0"/>
                <w:webHidden/>
                <w:sz w:val="24"/>
                <w:szCs w:val="24"/>
                <w:lang w:val="ro-RO"/>
              </w:rPr>
              <w:fldChar w:fldCharType="separate"/>
            </w:r>
            <w:r w:rsidR="00DB70B5" w:rsidRPr="00644D4E">
              <w:rPr>
                <w:noProof w:val="0"/>
                <w:webHidden/>
                <w:sz w:val="24"/>
                <w:szCs w:val="24"/>
                <w:lang w:val="ro-RO"/>
              </w:rPr>
              <w:t>10</w:t>
            </w:r>
            <w:r w:rsidR="0000652A" w:rsidRPr="00644D4E">
              <w:rPr>
                <w:noProof w:val="0"/>
                <w:webHidden/>
                <w:sz w:val="24"/>
                <w:szCs w:val="24"/>
                <w:lang w:val="ro-RO"/>
              </w:rPr>
              <w:fldChar w:fldCharType="end"/>
            </w:r>
          </w:hyperlink>
        </w:p>
        <w:p w14:paraId="36B54BE4" w14:textId="77777777" w:rsidR="0000652A" w:rsidRPr="00644D4E" w:rsidRDefault="00000000">
          <w:pPr>
            <w:pStyle w:val="TOC3"/>
            <w:rPr>
              <w:rFonts w:asciiTheme="minorHAnsi" w:eastAsiaTheme="minorEastAsia" w:hAnsiTheme="minorHAnsi" w:cstheme="minorBidi"/>
              <w:noProof w:val="0"/>
              <w:sz w:val="24"/>
              <w:szCs w:val="24"/>
              <w:lang w:val="ro-RO" w:eastAsia="ru-RU"/>
            </w:rPr>
          </w:pPr>
          <w:hyperlink w:anchor="_Toc138064739" w:history="1">
            <w:r w:rsidR="0000652A" w:rsidRPr="00644D4E">
              <w:rPr>
                <w:rStyle w:val="Hyperlink"/>
                <w:noProof w:val="0"/>
                <w:color w:val="auto"/>
                <w:sz w:val="24"/>
                <w:szCs w:val="24"/>
                <w:lang w:val="ro-RO"/>
              </w:rPr>
              <w:t xml:space="preserve">2.2.3. </w:t>
            </w:r>
            <w:r w:rsidR="0000652A" w:rsidRPr="00644D4E">
              <w:rPr>
                <w:rStyle w:val="Hyperlink"/>
                <w:i/>
                <w:noProof w:val="0"/>
                <w:color w:val="auto"/>
                <w:sz w:val="24"/>
                <w:szCs w:val="24"/>
                <w:lang w:val="ro-RO"/>
              </w:rPr>
              <w:t>Tinerii NEET</w:t>
            </w:r>
            <w:r w:rsidR="0000652A" w:rsidRPr="00644D4E">
              <w:rPr>
                <w:rStyle w:val="Hyperlink"/>
                <w:noProof w:val="0"/>
                <w:color w:val="auto"/>
                <w:sz w:val="24"/>
                <w:szCs w:val="24"/>
                <w:lang w:val="ro-RO"/>
              </w:rPr>
              <w:t>.</w:t>
            </w:r>
            <w:r w:rsidR="0000652A" w:rsidRPr="00644D4E">
              <w:rPr>
                <w:noProof w:val="0"/>
                <w:webHidden/>
                <w:sz w:val="24"/>
                <w:szCs w:val="24"/>
                <w:lang w:val="ro-RO"/>
              </w:rPr>
              <w:tab/>
            </w:r>
            <w:r w:rsidR="0000652A" w:rsidRPr="00644D4E">
              <w:rPr>
                <w:noProof w:val="0"/>
                <w:webHidden/>
                <w:sz w:val="24"/>
                <w:szCs w:val="24"/>
                <w:lang w:val="ro-RO"/>
              </w:rPr>
              <w:fldChar w:fldCharType="begin"/>
            </w:r>
            <w:r w:rsidR="0000652A" w:rsidRPr="00644D4E">
              <w:rPr>
                <w:noProof w:val="0"/>
                <w:webHidden/>
                <w:sz w:val="24"/>
                <w:szCs w:val="24"/>
                <w:lang w:val="ro-RO"/>
              </w:rPr>
              <w:instrText xml:space="preserve"> PAGEREF _Toc138064739 \h </w:instrText>
            </w:r>
            <w:r w:rsidR="0000652A" w:rsidRPr="00644D4E">
              <w:rPr>
                <w:noProof w:val="0"/>
                <w:webHidden/>
                <w:sz w:val="24"/>
                <w:szCs w:val="24"/>
                <w:lang w:val="ro-RO"/>
              </w:rPr>
            </w:r>
            <w:r w:rsidR="0000652A" w:rsidRPr="00644D4E">
              <w:rPr>
                <w:noProof w:val="0"/>
                <w:webHidden/>
                <w:sz w:val="24"/>
                <w:szCs w:val="24"/>
                <w:lang w:val="ro-RO"/>
              </w:rPr>
              <w:fldChar w:fldCharType="separate"/>
            </w:r>
            <w:r w:rsidR="00DB70B5" w:rsidRPr="00644D4E">
              <w:rPr>
                <w:noProof w:val="0"/>
                <w:webHidden/>
                <w:sz w:val="24"/>
                <w:szCs w:val="24"/>
                <w:lang w:val="ro-RO"/>
              </w:rPr>
              <w:t>11</w:t>
            </w:r>
            <w:r w:rsidR="0000652A" w:rsidRPr="00644D4E">
              <w:rPr>
                <w:noProof w:val="0"/>
                <w:webHidden/>
                <w:sz w:val="24"/>
                <w:szCs w:val="24"/>
                <w:lang w:val="ro-RO"/>
              </w:rPr>
              <w:fldChar w:fldCharType="end"/>
            </w:r>
          </w:hyperlink>
        </w:p>
        <w:p w14:paraId="642D48C3" w14:textId="77777777" w:rsidR="0000652A" w:rsidRPr="00644D4E" w:rsidRDefault="00000000">
          <w:pPr>
            <w:pStyle w:val="TOC3"/>
            <w:rPr>
              <w:rFonts w:asciiTheme="minorHAnsi" w:eastAsiaTheme="minorEastAsia" w:hAnsiTheme="minorHAnsi" w:cstheme="minorBidi"/>
              <w:noProof w:val="0"/>
              <w:sz w:val="24"/>
              <w:szCs w:val="24"/>
              <w:lang w:val="ro-RO" w:eastAsia="ru-RU"/>
            </w:rPr>
          </w:pPr>
          <w:hyperlink w:anchor="_Toc138064740" w:history="1">
            <w:r w:rsidR="0000652A" w:rsidRPr="00644D4E">
              <w:rPr>
                <w:rStyle w:val="Hyperlink"/>
                <w:noProof w:val="0"/>
                <w:color w:val="auto"/>
                <w:sz w:val="24"/>
                <w:szCs w:val="24"/>
                <w:lang w:val="ro-RO"/>
              </w:rPr>
              <w:t>2.2.4. Ocuparea informală.</w:t>
            </w:r>
            <w:r w:rsidR="0000652A" w:rsidRPr="00644D4E">
              <w:rPr>
                <w:noProof w:val="0"/>
                <w:webHidden/>
                <w:sz w:val="24"/>
                <w:szCs w:val="24"/>
                <w:lang w:val="ro-RO"/>
              </w:rPr>
              <w:tab/>
            </w:r>
            <w:r w:rsidR="0000652A" w:rsidRPr="00644D4E">
              <w:rPr>
                <w:noProof w:val="0"/>
                <w:webHidden/>
                <w:sz w:val="24"/>
                <w:szCs w:val="24"/>
                <w:lang w:val="ro-RO"/>
              </w:rPr>
              <w:fldChar w:fldCharType="begin"/>
            </w:r>
            <w:r w:rsidR="0000652A" w:rsidRPr="00644D4E">
              <w:rPr>
                <w:noProof w:val="0"/>
                <w:webHidden/>
                <w:sz w:val="24"/>
                <w:szCs w:val="24"/>
                <w:lang w:val="ro-RO"/>
              </w:rPr>
              <w:instrText xml:space="preserve"> PAGEREF _Toc138064740 \h </w:instrText>
            </w:r>
            <w:r w:rsidR="0000652A" w:rsidRPr="00644D4E">
              <w:rPr>
                <w:noProof w:val="0"/>
                <w:webHidden/>
                <w:sz w:val="24"/>
                <w:szCs w:val="24"/>
                <w:lang w:val="ro-RO"/>
              </w:rPr>
            </w:r>
            <w:r w:rsidR="0000652A" w:rsidRPr="00644D4E">
              <w:rPr>
                <w:noProof w:val="0"/>
                <w:webHidden/>
                <w:sz w:val="24"/>
                <w:szCs w:val="24"/>
                <w:lang w:val="ro-RO"/>
              </w:rPr>
              <w:fldChar w:fldCharType="separate"/>
            </w:r>
            <w:r w:rsidR="00DB70B5" w:rsidRPr="00644D4E">
              <w:rPr>
                <w:noProof w:val="0"/>
                <w:webHidden/>
                <w:sz w:val="24"/>
                <w:szCs w:val="24"/>
                <w:lang w:val="ro-RO"/>
              </w:rPr>
              <w:t>11</w:t>
            </w:r>
            <w:r w:rsidR="0000652A" w:rsidRPr="00644D4E">
              <w:rPr>
                <w:noProof w:val="0"/>
                <w:webHidden/>
                <w:sz w:val="24"/>
                <w:szCs w:val="24"/>
                <w:lang w:val="ro-RO"/>
              </w:rPr>
              <w:fldChar w:fldCharType="end"/>
            </w:r>
          </w:hyperlink>
        </w:p>
        <w:p w14:paraId="384D4000" w14:textId="77777777" w:rsidR="0000652A" w:rsidRPr="00644D4E" w:rsidRDefault="00000000">
          <w:pPr>
            <w:pStyle w:val="TOC2"/>
            <w:rPr>
              <w:rFonts w:asciiTheme="minorHAnsi" w:eastAsiaTheme="minorEastAsia" w:hAnsiTheme="minorHAnsi" w:cstheme="minorBidi"/>
              <w:noProof w:val="0"/>
              <w:lang w:val="ro-RO" w:eastAsia="ru-RU"/>
            </w:rPr>
          </w:pPr>
          <w:hyperlink w:anchor="_Toc138064741" w:history="1">
            <w:r w:rsidR="0000652A" w:rsidRPr="00644D4E">
              <w:rPr>
                <w:rStyle w:val="Hyperlink"/>
                <w:noProof w:val="0"/>
                <w:color w:val="auto"/>
                <w:lang w:val="ro-RO"/>
              </w:rPr>
              <w:t>2.3. Piața forței de muncă conform datelor administrative ale Agenției Naționale pentru Ocuparea Forței de Muncă (ANOFM).</w:t>
            </w:r>
            <w:r w:rsidR="0000652A" w:rsidRPr="00644D4E">
              <w:rPr>
                <w:noProof w:val="0"/>
                <w:webHidden/>
                <w:lang w:val="ro-RO"/>
              </w:rPr>
              <w:tab/>
            </w:r>
            <w:r w:rsidR="00280DDA" w:rsidRPr="00644D4E">
              <w:rPr>
                <w:noProof w:val="0"/>
                <w:webHidden/>
                <w:lang w:val="ro-RO"/>
              </w:rPr>
              <w:t>12</w:t>
            </w:r>
          </w:hyperlink>
        </w:p>
        <w:p w14:paraId="069D0DB4" w14:textId="77777777" w:rsidR="0000652A" w:rsidRPr="00644D4E" w:rsidRDefault="00000000">
          <w:pPr>
            <w:pStyle w:val="TOC3"/>
            <w:rPr>
              <w:rFonts w:asciiTheme="minorHAnsi" w:eastAsiaTheme="minorEastAsia" w:hAnsiTheme="minorHAnsi" w:cstheme="minorBidi"/>
              <w:noProof w:val="0"/>
              <w:sz w:val="24"/>
              <w:szCs w:val="24"/>
              <w:lang w:val="ro-RO" w:eastAsia="ru-RU"/>
            </w:rPr>
          </w:pPr>
          <w:hyperlink w:anchor="_Toc138064742" w:history="1">
            <w:r w:rsidR="0000652A" w:rsidRPr="00644D4E">
              <w:rPr>
                <w:rStyle w:val="Hyperlink"/>
                <w:noProof w:val="0"/>
                <w:color w:val="auto"/>
                <w:sz w:val="24"/>
                <w:szCs w:val="24"/>
                <w:shd w:val="clear" w:color="auto" w:fill="FFFFFF"/>
                <w:lang w:val="ro-RO"/>
              </w:rPr>
              <w:t xml:space="preserve">2.3.1. </w:t>
            </w:r>
            <w:r w:rsidR="0000652A" w:rsidRPr="00644D4E">
              <w:rPr>
                <w:rStyle w:val="Hyperlink"/>
                <w:i/>
                <w:noProof w:val="0"/>
                <w:color w:val="auto"/>
                <w:sz w:val="24"/>
                <w:szCs w:val="24"/>
                <w:shd w:val="clear" w:color="auto" w:fill="FFFFFF"/>
                <w:lang w:val="ro-RO"/>
              </w:rPr>
              <w:t>Analiza șomajului înregistrat</w:t>
            </w:r>
            <w:r w:rsidR="0000652A" w:rsidRPr="00644D4E">
              <w:rPr>
                <w:noProof w:val="0"/>
                <w:webHidden/>
                <w:sz w:val="24"/>
                <w:szCs w:val="24"/>
                <w:lang w:val="ro-RO"/>
              </w:rPr>
              <w:tab/>
            </w:r>
            <w:r w:rsidR="0000652A" w:rsidRPr="00644D4E">
              <w:rPr>
                <w:noProof w:val="0"/>
                <w:webHidden/>
                <w:sz w:val="24"/>
                <w:szCs w:val="24"/>
                <w:lang w:val="ro-RO"/>
              </w:rPr>
              <w:fldChar w:fldCharType="begin"/>
            </w:r>
            <w:r w:rsidR="0000652A" w:rsidRPr="00644D4E">
              <w:rPr>
                <w:noProof w:val="0"/>
                <w:webHidden/>
                <w:sz w:val="24"/>
                <w:szCs w:val="24"/>
                <w:lang w:val="ro-RO"/>
              </w:rPr>
              <w:instrText xml:space="preserve"> PAGEREF _Toc138064742 \h </w:instrText>
            </w:r>
            <w:r w:rsidR="0000652A" w:rsidRPr="00644D4E">
              <w:rPr>
                <w:noProof w:val="0"/>
                <w:webHidden/>
                <w:sz w:val="24"/>
                <w:szCs w:val="24"/>
                <w:lang w:val="ro-RO"/>
              </w:rPr>
            </w:r>
            <w:r w:rsidR="0000652A" w:rsidRPr="00644D4E">
              <w:rPr>
                <w:noProof w:val="0"/>
                <w:webHidden/>
                <w:sz w:val="24"/>
                <w:szCs w:val="24"/>
                <w:lang w:val="ro-RO"/>
              </w:rPr>
              <w:fldChar w:fldCharType="separate"/>
            </w:r>
            <w:r w:rsidR="00DB70B5" w:rsidRPr="00644D4E">
              <w:rPr>
                <w:noProof w:val="0"/>
                <w:webHidden/>
                <w:sz w:val="24"/>
                <w:szCs w:val="24"/>
                <w:lang w:val="ro-RO"/>
              </w:rPr>
              <w:t>12</w:t>
            </w:r>
            <w:r w:rsidR="0000652A" w:rsidRPr="00644D4E">
              <w:rPr>
                <w:noProof w:val="0"/>
                <w:webHidden/>
                <w:sz w:val="24"/>
                <w:szCs w:val="24"/>
                <w:lang w:val="ro-RO"/>
              </w:rPr>
              <w:fldChar w:fldCharType="end"/>
            </w:r>
          </w:hyperlink>
        </w:p>
        <w:p w14:paraId="522373BA" w14:textId="77777777" w:rsidR="0000652A" w:rsidRPr="00644D4E" w:rsidRDefault="00000000">
          <w:pPr>
            <w:pStyle w:val="TOC3"/>
            <w:rPr>
              <w:rFonts w:asciiTheme="minorHAnsi" w:eastAsiaTheme="minorEastAsia" w:hAnsiTheme="minorHAnsi" w:cstheme="minorBidi"/>
              <w:noProof w:val="0"/>
              <w:sz w:val="24"/>
              <w:szCs w:val="24"/>
              <w:lang w:val="ro-RO" w:eastAsia="ru-RU"/>
            </w:rPr>
          </w:pPr>
          <w:hyperlink w:anchor="_Toc138064743" w:history="1">
            <w:r w:rsidR="0000652A" w:rsidRPr="00644D4E">
              <w:rPr>
                <w:rStyle w:val="Hyperlink"/>
                <w:noProof w:val="0"/>
                <w:color w:val="auto"/>
                <w:sz w:val="24"/>
                <w:szCs w:val="24"/>
                <w:shd w:val="clear" w:color="auto" w:fill="FFFFFF"/>
                <w:lang w:val="ro-RO"/>
              </w:rPr>
              <w:t xml:space="preserve">2.3.2. </w:t>
            </w:r>
            <w:r w:rsidR="0000652A" w:rsidRPr="00644D4E">
              <w:rPr>
                <w:rStyle w:val="Hyperlink"/>
                <w:i/>
                <w:noProof w:val="0"/>
                <w:color w:val="auto"/>
                <w:sz w:val="24"/>
                <w:szCs w:val="24"/>
                <w:shd w:val="clear" w:color="auto" w:fill="FFFFFF"/>
                <w:lang w:val="ro-RO"/>
              </w:rPr>
              <w:t>Șomeri plasați în câmpul muncii</w:t>
            </w:r>
            <w:r w:rsidR="0000652A" w:rsidRPr="00644D4E">
              <w:rPr>
                <w:rStyle w:val="Hyperlink"/>
                <w:noProof w:val="0"/>
                <w:color w:val="auto"/>
                <w:sz w:val="24"/>
                <w:szCs w:val="24"/>
                <w:shd w:val="clear" w:color="auto" w:fill="FFFFFF"/>
                <w:lang w:val="ro-RO"/>
              </w:rPr>
              <w:t>.</w:t>
            </w:r>
            <w:r w:rsidR="0000652A" w:rsidRPr="00644D4E">
              <w:rPr>
                <w:noProof w:val="0"/>
                <w:webHidden/>
                <w:sz w:val="24"/>
                <w:szCs w:val="24"/>
                <w:lang w:val="ro-RO"/>
              </w:rPr>
              <w:tab/>
            </w:r>
            <w:r w:rsidR="0000652A" w:rsidRPr="00644D4E">
              <w:rPr>
                <w:noProof w:val="0"/>
                <w:webHidden/>
                <w:sz w:val="24"/>
                <w:szCs w:val="24"/>
                <w:lang w:val="ro-RO"/>
              </w:rPr>
              <w:fldChar w:fldCharType="begin"/>
            </w:r>
            <w:r w:rsidR="0000652A" w:rsidRPr="00644D4E">
              <w:rPr>
                <w:noProof w:val="0"/>
                <w:webHidden/>
                <w:sz w:val="24"/>
                <w:szCs w:val="24"/>
                <w:lang w:val="ro-RO"/>
              </w:rPr>
              <w:instrText xml:space="preserve"> PAGEREF _Toc138064743 \h </w:instrText>
            </w:r>
            <w:r w:rsidR="0000652A" w:rsidRPr="00644D4E">
              <w:rPr>
                <w:noProof w:val="0"/>
                <w:webHidden/>
                <w:sz w:val="24"/>
                <w:szCs w:val="24"/>
                <w:lang w:val="ro-RO"/>
              </w:rPr>
            </w:r>
            <w:r w:rsidR="0000652A" w:rsidRPr="00644D4E">
              <w:rPr>
                <w:noProof w:val="0"/>
                <w:webHidden/>
                <w:sz w:val="24"/>
                <w:szCs w:val="24"/>
                <w:lang w:val="ro-RO"/>
              </w:rPr>
              <w:fldChar w:fldCharType="separate"/>
            </w:r>
            <w:r w:rsidR="00DB70B5" w:rsidRPr="00644D4E">
              <w:rPr>
                <w:noProof w:val="0"/>
                <w:webHidden/>
                <w:sz w:val="24"/>
                <w:szCs w:val="24"/>
                <w:lang w:val="ro-RO"/>
              </w:rPr>
              <w:t>14</w:t>
            </w:r>
            <w:r w:rsidR="0000652A" w:rsidRPr="00644D4E">
              <w:rPr>
                <w:noProof w:val="0"/>
                <w:webHidden/>
                <w:sz w:val="24"/>
                <w:szCs w:val="24"/>
                <w:lang w:val="ro-RO"/>
              </w:rPr>
              <w:fldChar w:fldCharType="end"/>
            </w:r>
          </w:hyperlink>
        </w:p>
        <w:p w14:paraId="351B8F65" w14:textId="77777777" w:rsidR="0000652A" w:rsidRPr="00644D4E" w:rsidRDefault="00000000">
          <w:pPr>
            <w:pStyle w:val="TOC3"/>
            <w:rPr>
              <w:rFonts w:asciiTheme="minorHAnsi" w:eastAsiaTheme="minorEastAsia" w:hAnsiTheme="minorHAnsi" w:cstheme="minorBidi"/>
              <w:noProof w:val="0"/>
              <w:sz w:val="24"/>
              <w:szCs w:val="24"/>
              <w:lang w:val="ro-RO" w:eastAsia="ru-RU"/>
            </w:rPr>
          </w:pPr>
          <w:hyperlink w:anchor="_Toc138064744" w:history="1">
            <w:r w:rsidR="0000652A" w:rsidRPr="00644D4E">
              <w:rPr>
                <w:rStyle w:val="Hyperlink"/>
                <w:noProof w:val="0"/>
                <w:color w:val="auto"/>
                <w:sz w:val="24"/>
                <w:szCs w:val="24"/>
                <w:shd w:val="clear" w:color="auto" w:fill="FFFFFF"/>
                <w:lang w:val="ro-RO"/>
              </w:rPr>
              <w:t xml:space="preserve">2.3.3. </w:t>
            </w:r>
            <w:r w:rsidR="0000652A" w:rsidRPr="00644D4E">
              <w:rPr>
                <w:rStyle w:val="Hyperlink"/>
                <w:i/>
                <w:noProof w:val="0"/>
                <w:color w:val="auto"/>
                <w:sz w:val="24"/>
                <w:szCs w:val="24"/>
                <w:shd w:val="clear" w:color="auto" w:fill="FFFFFF"/>
                <w:lang w:val="ro-RO"/>
              </w:rPr>
              <w:t>Locuri vacante</w:t>
            </w:r>
            <w:r w:rsidR="0000652A" w:rsidRPr="00644D4E">
              <w:rPr>
                <w:noProof w:val="0"/>
                <w:webHidden/>
                <w:sz w:val="24"/>
                <w:szCs w:val="24"/>
                <w:lang w:val="ro-RO"/>
              </w:rPr>
              <w:tab/>
            </w:r>
            <w:r w:rsidR="0000652A" w:rsidRPr="00644D4E">
              <w:rPr>
                <w:noProof w:val="0"/>
                <w:webHidden/>
                <w:sz w:val="24"/>
                <w:szCs w:val="24"/>
                <w:lang w:val="ro-RO"/>
              </w:rPr>
              <w:fldChar w:fldCharType="begin"/>
            </w:r>
            <w:r w:rsidR="0000652A" w:rsidRPr="00644D4E">
              <w:rPr>
                <w:noProof w:val="0"/>
                <w:webHidden/>
                <w:sz w:val="24"/>
                <w:szCs w:val="24"/>
                <w:lang w:val="ro-RO"/>
              </w:rPr>
              <w:instrText xml:space="preserve"> PAGEREF _Toc138064744 \h </w:instrText>
            </w:r>
            <w:r w:rsidR="0000652A" w:rsidRPr="00644D4E">
              <w:rPr>
                <w:noProof w:val="0"/>
                <w:webHidden/>
                <w:sz w:val="24"/>
                <w:szCs w:val="24"/>
                <w:lang w:val="ro-RO"/>
              </w:rPr>
            </w:r>
            <w:r w:rsidR="0000652A" w:rsidRPr="00644D4E">
              <w:rPr>
                <w:noProof w:val="0"/>
                <w:webHidden/>
                <w:sz w:val="24"/>
                <w:szCs w:val="24"/>
                <w:lang w:val="ro-RO"/>
              </w:rPr>
              <w:fldChar w:fldCharType="separate"/>
            </w:r>
            <w:r w:rsidR="00DB70B5" w:rsidRPr="00644D4E">
              <w:rPr>
                <w:noProof w:val="0"/>
                <w:webHidden/>
                <w:sz w:val="24"/>
                <w:szCs w:val="24"/>
                <w:lang w:val="ro-RO"/>
              </w:rPr>
              <w:t>15</w:t>
            </w:r>
            <w:r w:rsidR="0000652A" w:rsidRPr="00644D4E">
              <w:rPr>
                <w:noProof w:val="0"/>
                <w:webHidden/>
                <w:sz w:val="24"/>
                <w:szCs w:val="24"/>
                <w:lang w:val="ro-RO"/>
              </w:rPr>
              <w:fldChar w:fldCharType="end"/>
            </w:r>
          </w:hyperlink>
        </w:p>
        <w:p w14:paraId="7D58F3F3" w14:textId="77777777" w:rsidR="0000652A" w:rsidRPr="00644D4E" w:rsidRDefault="00000000">
          <w:pPr>
            <w:pStyle w:val="TOC3"/>
            <w:rPr>
              <w:rFonts w:asciiTheme="minorHAnsi" w:eastAsiaTheme="minorEastAsia" w:hAnsiTheme="minorHAnsi" w:cstheme="minorBidi"/>
              <w:noProof w:val="0"/>
              <w:sz w:val="24"/>
              <w:szCs w:val="24"/>
              <w:lang w:val="ro-RO" w:eastAsia="ru-RU"/>
            </w:rPr>
          </w:pPr>
          <w:hyperlink w:anchor="_Toc138064745" w:history="1">
            <w:r w:rsidR="0000652A" w:rsidRPr="00644D4E">
              <w:rPr>
                <w:rStyle w:val="Hyperlink"/>
                <w:noProof w:val="0"/>
                <w:color w:val="auto"/>
                <w:sz w:val="24"/>
                <w:szCs w:val="24"/>
                <w:shd w:val="clear" w:color="auto" w:fill="FFFFFF"/>
                <w:lang w:val="ro-RO"/>
              </w:rPr>
              <w:t xml:space="preserve">2.3.4. </w:t>
            </w:r>
            <w:r w:rsidR="0000652A" w:rsidRPr="00644D4E">
              <w:rPr>
                <w:rStyle w:val="Hyperlink"/>
                <w:i/>
                <w:noProof w:val="0"/>
                <w:color w:val="auto"/>
                <w:sz w:val="24"/>
                <w:szCs w:val="24"/>
                <w:shd w:val="clear" w:color="auto" w:fill="FFFFFF"/>
                <w:lang w:val="ro-RO"/>
              </w:rPr>
              <w:t>Salarii.</w:t>
            </w:r>
            <w:r w:rsidR="0000652A" w:rsidRPr="00644D4E">
              <w:rPr>
                <w:noProof w:val="0"/>
                <w:webHidden/>
                <w:sz w:val="24"/>
                <w:szCs w:val="24"/>
                <w:lang w:val="ro-RO"/>
              </w:rPr>
              <w:tab/>
            </w:r>
            <w:r w:rsidR="0000652A" w:rsidRPr="00644D4E">
              <w:rPr>
                <w:noProof w:val="0"/>
                <w:webHidden/>
                <w:sz w:val="24"/>
                <w:szCs w:val="24"/>
                <w:lang w:val="ro-RO"/>
              </w:rPr>
              <w:fldChar w:fldCharType="begin"/>
            </w:r>
            <w:r w:rsidR="0000652A" w:rsidRPr="00644D4E">
              <w:rPr>
                <w:noProof w:val="0"/>
                <w:webHidden/>
                <w:sz w:val="24"/>
                <w:szCs w:val="24"/>
                <w:lang w:val="ro-RO"/>
              </w:rPr>
              <w:instrText xml:space="preserve"> PAGEREF _Toc138064745 \h </w:instrText>
            </w:r>
            <w:r w:rsidR="0000652A" w:rsidRPr="00644D4E">
              <w:rPr>
                <w:noProof w:val="0"/>
                <w:webHidden/>
                <w:sz w:val="24"/>
                <w:szCs w:val="24"/>
                <w:lang w:val="ro-RO"/>
              </w:rPr>
            </w:r>
            <w:r w:rsidR="0000652A" w:rsidRPr="00644D4E">
              <w:rPr>
                <w:noProof w:val="0"/>
                <w:webHidden/>
                <w:sz w:val="24"/>
                <w:szCs w:val="24"/>
                <w:lang w:val="ro-RO"/>
              </w:rPr>
              <w:fldChar w:fldCharType="separate"/>
            </w:r>
            <w:r w:rsidR="00DB70B5" w:rsidRPr="00644D4E">
              <w:rPr>
                <w:noProof w:val="0"/>
                <w:webHidden/>
                <w:sz w:val="24"/>
                <w:szCs w:val="24"/>
                <w:lang w:val="ro-RO"/>
              </w:rPr>
              <w:t>17</w:t>
            </w:r>
            <w:r w:rsidR="0000652A" w:rsidRPr="00644D4E">
              <w:rPr>
                <w:noProof w:val="0"/>
                <w:webHidden/>
                <w:sz w:val="24"/>
                <w:szCs w:val="24"/>
                <w:lang w:val="ro-RO"/>
              </w:rPr>
              <w:fldChar w:fldCharType="end"/>
            </w:r>
          </w:hyperlink>
        </w:p>
        <w:p w14:paraId="58939E72" w14:textId="77777777" w:rsidR="0000652A" w:rsidRPr="00644D4E" w:rsidRDefault="00000000">
          <w:pPr>
            <w:pStyle w:val="TOC1"/>
            <w:rPr>
              <w:rFonts w:asciiTheme="minorHAnsi" w:eastAsiaTheme="minorEastAsia" w:hAnsiTheme="minorHAnsi" w:cstheme="minorBidi"/>
              <w:b w:val="0"/>
              <w:noProof w:val="0"/>
              <w:lang w:val="ro-RO" w:eastAsia="ru-RU"/>
            </w:rPr>
          </w:pPr>
          <w:hyperlink w:anchor="_Toc138064747" w:history="1">
            <w:r w:rsidR="0000652A" w:rsidRPr="00644D4E">
              <w:rPr>
                <w:rStyle w:val="Hyperlink"/>
                <w:noProof w:val="0"/>
                <w:color w:val="auto"/>
                <w:lang w:val="ro-RO"/>
              </w:rPr>
              <w:t>Capitolul III. Politicile pieței muncii</w:t>
            </w:r>
            <w:r w:rsidR="0000652A" w:rsidRPr="00644D4E">
              <w:rPr>
                <w:b w:val="0"/>
                <w:noProof w:val="0"/>
                <w:webHidden/>
                <w:lang w:val="ro-RO"/>
              </w:rPr>
              <w:tab/>
            </w:r>
            <w:r w:rsidR="0000652A" w:rsidRPr="00644D4E">
              <w:rPr>
                <w:b w:val="0"/>
                <w:noProof w:val="0"/>
                <w:webHidden/>
                <w:lang w:val="ro-RO"/>
              </w:rPr>
              <w:fldChar w:fldCharType="begin"/>
            </w:r>
            <w:r w:rsidR="0000652A" w:rsidRPr="00644D4E">
              <w:rPr>
                <w:b w:val="0"/>
                <w:noProof w:val="0"/>
                <w:webHidden/>
                <w:lang w:val="ro-RO"/>
              </w:rPr>
              <w:instrText xml:space="preserve"> PAGEREF _Toc138064747 \h </w:instrText>
            </w:r>
            <w:r w:rsidR="0000652A" w:rsidRPr="00644D4E">
              <w:rPr>
                <w:b w:val="0"/>
                <w:noProof w:val="0"/>
                <w:webHidden/>
                <w:lang w:val="ro-RO"/>
              </w:rPr>
            </w:r>
            <w:r w:rsidR="0000652A" w:rsidRPr="00644D4E">
              <w:rPr>
                <w:b w:val="0"/>
                <w:noProof w:val="0"/>
                <w:webHidden/>
                <w:lang w:val="ro-RO"/>
              </w:rPr>
              <w:fldChar w:fldCharType="separate"/>
            </w:r>
            <w:r w:rsidR="00DB70B5" w:rsidRPr="00644D4E">
              <w:rPr>
                <w:b w:val="0"/>
                <w:noProof w:val="0"/>
                <w:webHidden/>
                <w:lang w:val="ro-RO"/>
              </w:rPr>
              <w:t>18</w:t>
            </w:r>
            <w:r w:rsidR="0000652A" w:rsidRPr="00644D4E">
              <w:rPr>
                <w:b w:val="0"/>
                <w:noProof w:val="0"/>
                <w:webHidden/>
                <w:lang w:val="ro-RO"/>
              </w:rPr>
              <w:fldChar w:fldCharType="end"/>
            </w:r>
          </w:hyperlink>
        </w:p>
        <w:p w14:paraId="32326E48" w14:textId="77777777" w:rsidR="0000652A" w:rsidRPr="00644D4E" w:rsidRDefault="00000000">
          <w:pPr>
            <w:pStyle w:val="TOC2"/>
            <w:rPr>
              <w:rStyle w:val="Hyperlink"/>
              <w:noProof w:val="0"/>
              <w:color w:val="auto"/>
              <w:lang w:val="ro-RO"/>
            </w:rPr>
          </w:pPr>
          <w:hyperlink w:anchor="_Toc138064748" w:history="1">
            <w:r w:rsidR="0000652A" w:rsidRPr="00644D4E">
              <w:rPr>
                <w:rStyle w:val="Hyperlink"/>
                <w:noProof w:val="0"/>
                <w:color w:val="auto"/>
                <w:lang w:val="ro-RO"/>
              </w:rPr>
              <w:t xml:space="preserve">3.1. </w:t>
            </w:r>
            <w:r w:rsidR="0000652A" w:rsidRPr="00644D4E">
              <w:rPr>
                <w:rStyle w:val="Hyperlink"/>
                <w:i/>
                <w:noProof w:val="0"/>
                <w:color w:val="auto"/>
                <w:lang w:val="ro-RO"/>
              </w:rPr>
              <w:t>Măsuri active ale pieței muncii</w:t>
            </w:r>
            <w:r w:rsidR="0000652A" w:rsidRPr="00644D4E">
              <w:rPr>
                <w:noProof w:val="0"/>
                <w:webHidden/>
                <w:lang w:val="ro-RO"/>
              </w:rPr>
              <w:tab/>
            </w:r>
            <w:r w:rsidR="0000652A" w:rsidRPr="00644D4E">
              <w:rPr>
                <w:noProof w:val="0"/>
                <w:webHidden/>
                <w:lang w:val="ro-RO"/>
              </w:rPr>
              <w:fldChar w:fldCharType="begin"/>
            </w:r>
            <w:r w:rsidR="0000652A" w:rsidRPr="00644D4E">
              <w:rPr>
                <w:noProof w:val="0"/>
                <w:webHidden/>
                <w:lang w:val="ro-RO"/>
              </w:rPr>
              <w:instrText xml:space="preserve"> PAGEREF _Toc138064748 \h </w:instrText>
            </w:r>
            <w:r w:rsidR="0000652A" w:rsidRPr="00644D4E">
              <w:rPr>
                <w:noProof w:val="0"/>
                <w:webHidden/>
                <w:lang w:val="ro-RO"/>
              </w:rPr>
            </w:r>
            <w:r w:rsidR="0000652A" w:rsidRPr="00644D4E">
              <w:rPr>
                <w:noProof w:val="0"/>
                <w:webHidden/>
                <w:lang w:val="ro-RO"/>
              </w:rPr>
              <w:fldChar w:fldCharType="separate"/>
            </w:r>
            <w:r w:rsidR="00DB70B5" w:rsidRPr="00644D4E">
              <w:rPr>
                <w:noProof w:val="0"/>
                <w:webHidden/>
                <w:lang w:val="ro-RO"/>
              </w:rPr>
              <w:t>18</w:t>
            </w:r>
            <w:r w:rsidR="0000652A" w:rsidRPr="00644D4E">
              <w:rPr>
                <w:noProof w:val="0"/>
                <w:webHidden/>
                <w:lang w:val="ro-RO"/>
              </w:rPr>
              <w:fldChar w:fldCharType="end"/>
            </w:r>
          </w:hyperlink>
        </w:p>
        <w:p w14:paraId="53BD8517" w14:textId="77777777" w:rsidR="00013FD4" w:rsidRPr="00644D4E" w:rsidRDefault="00013FD4" w:rsidP="00013FD4">
          <w:pPr>
            <w:rPr>
              <w:sz w:val="24"/>
              <w:szCs w:val="24"/>
              <w:lang w:val="ro-RO"/>
            </w:rPr>
          </w:pPr>
          <w:r w:rsidRPr="00644D4E">
            <w:rPr>
              <w:sz w:val="24"/>
              <w:szCs w:val="24"/>
              <w:lang w:val="ro-RO"/>
            </w:rPr>
            <w:t xml:space="preserve">    </w:t>
          </w:r>
          <w:r w:rsidRPr="00644D4E">
            <w:rPr>
              <w:rFonts w:ascii="Times New Roman" w:hAnsi="Times New Roman" w:cs="Times New Roman"/>
              <w:sz w:val="24"/>
              <w:szCs w:val="24"/>
              <w:lang w:val="ro-RO"/>
            </w:rPr>
            <w:t xml:space="preserve">3.2. </w:t>
          </w:r>
          <w:r w:rsidRPr="00644D4E">
            <w:rPr>
              <w:rFonts w:ascii="Times New Roman" w:hAnsi="Times New Roman" w:cs="Times New Roman"/>
              <w:i/>
              <w:sz w:val="24"/>
              <w:szCs w:val="24"/>
              <w:lang w:val="ro-RO"/>
            </w:rPr>
            <w:t>Măsuri pasive ale pieței muncii</w:t>
          </w:r>
          <w:r w:rsidRPr="00644D4E">
            <w:rPr>
              <w:sz w:val="24"/>
              <w:szCs w:val="24"/>
              <w:lang w:val="ro-RO"/>
            </w:rPr>
            <w:t>……</w:t>
          </w:r>
          <w:r w:rsidR="00FA7FD9" w:rsidRPr="00644D4E">
            <w:rPr>
              <w:sz w:val="24"/>
              <w:szCs w:val="24"/>
              <w:lang w:val="ro-RO"/>
            </w:rPr>
            <w:t>.</w:t>
          </w:r>
          <w:r w:rsidRPr="00644D4E">
            <w:rPr>
              <w:sz w:val="24"/>
              <w:szCs w:val="24"/>
              <w:lang w:val="ro-RO"/>
            </w:rPr>
            <w:t>…………………………………………………………………</w:t>
          </w:r>
          <w:r w:rsidR="009042B6" w:rsidRPr="00644D4E">
            <w:rPr>
              <w:sz w:val="24"/>
              <w:szCs w:val="24"/>
              <w:lang w:val="ro-RO"/>
            </w:rPr>
            <w:t>..</w:t>
          </w:r>
          <w:r w:rsidRPr="00644D4E">
            <w:rPr>
              <w:sz w:val="24"/>
              <w:szCs w:val="24"/>
              <w:lang w:val="ro-RO"/>
            </w:rPr>
            <w:t>……………….</w:t>
          </w:r>
          <w:r w:rsidR="00280DDA" w:rsidRPr="00644D4E">
            <w:rPr>
              <w:rFonts w:ascii="Times New Roman" w:hAnsi="Times New Roman" w:cs="Times New Roman"/>
              <w:sz w:val="24"/>
              <w:szCs w:val="24"/>
              <w:lang w:val="ro-RO"/>
            </w:rPr>
            <w:t>19</w:t>
          </w:r>
        </w:p>
        <w:p w14:paraId="28A7A164" w14:textId="77777777" w:rsidR="0000652A" w:rsidRPr="00644D4E" w:rsidRDefault="00000000">
          <w:pPr>
            <w:pStyle w:val="TOC1"/>
            <w:rPr>
              <w:rFonts w:asciiTheme="minorHAnsi" w:eastAsiaTheme="minorEastAsia" w:hAnsiTheme="minorHAnsi" w:cstheme="minorBidi"/>
              <w:b w:val="0"/>
              <w:noProof w:val="0"/>
              <w:sz w:val="22"/>
              <w:szCs w:val="22"/>
              <w:lang w:val="ro-RO" w:eastAsia="ru-RU"/>
            </w:rPr>
          </w:pPr>
          <w:hyperlink w:anchor="_Toc138064749" w:history="1">
            <w:r w:rsidR="0000652A" w:rsidRPr="00644D4E">
              <w:rPr>
                <w:rStyle w:val="Hyperlink"/>
                <w:noProof w:val="0"/>
                <w:color w:val="auto"/>
                <w:lang w:val="ro-RO"/>
              </w:rPr>
              <w:t>Capitolul IV. Concluzii.</w:t>
            </w:r>
            <w:r w:rsidR="0000652A" w:rsidRPr="00644D4E">
              <w:rPr>
                <w:b w:val="0"/>
                <w:noProof w:val="0"/>
                <w:webHidden/>
                <w:lang w:val="ro-RO"/>
              </w:rPr>
              <w:tab/>
            </w:r>
            <w:r w:rsidR="0000652A" w:rsidRPr="00644D4E">
              <w:rPr>
                <w:b w:val="0"/>
                <w:noProof w:val="0"/>
                <w:webHidden/>
                <w:lang w:val="ro-RO"/>
              </w:rPr>
              <w:fldChar w:fldCharType="begin"/>
            </w:r>
            <w:r w:rsidR="0000652A" w:rsidRPr="00644D4E">
              <w:rPr>
                <w:b w:val="0"/>
                <w:noProof w:val="0"/>
                <w:webHidden/>
                <w:lang w:val="ro-RO"/>
              </w:rPr>
              <w:instrText xml:space="preserve"> PAGEREF _Toc138064749 \h </w:instrText>
            </w:r>
            <w:r w:rsidR="0000652A" w:rsidRPr="00644D4E">
              <w:rPr>
                <w:b w:val="0"/>
                <w:noProof w:val="0"/>
                <w:webHidden/>
                <w:lang w:val="ro-RO"/>
              </w:rPr>
            </w:r>
            <w:r w:rsidR="0000652A" w:rsidRPr="00644D4E">
              <w:rPr>
                <w:b w:val="0"/>
                <w:noProof w:val="0"/>
                <w:webHidden/>
                <w:lang w:val="ro-RO"/>
              </w:rPr>
              <w:fldChar w:fldCharType="separate"/>
            </w:r>
            <w:r w:rsidR="00DB70B5" w:rsidRPr="00644D4E">
              <w:rPr>
                <w:b w:val="0"/>
                <w:noProof w:val="0"/>
                <w:webHidden/>
                <w:lang w:val="ro-RO"/>
              </w:rPr>
              <w:t>20</w:t>
            </w:r>
            <w:r w:rsidR="0000652A" w:rsidRPr="00644D4E">
              <w:rPr>
                <w:b w:val="0"/>
                <w:noProof w:val="0"/>
                <w:webHidden/>
                <w:lang w:val="ro-RO"/>
              </w:rPr>
              <w:fldChar w:fldCharType="end"/>
            </w:r>
          </w:hyperlink>
        </w:p>
        <w:p w14:paraId="41E75198" w14:textId="77777777" w:rsidR="009F6599" w:rsidRPr="00644D4E" w:rsidRDefault="009F6599">
          <w:pPr>
            <w:rPr>
              <w:rFonts w:ascii="Times New Roman" w:hAnsi="Times New Roman" w:cs="Times New Roman"/>
              <w:lang w:val="ro-RO"/>
            </w:rPr>
          </w:pPr>
          <w:r w:rsidRPr="00644D4E">
            <w:rPr>
              <w:rFonts w:ascii="Times New Roman" w:hAnsi="Times New Roman" w:cs="Times New Roman"/>
              <w:b/>
              <w:bCs/>
              <w:sz w:val="24"/>
              <w:szCs w:val="24"/>
              <w:lang w:val="ro-RO"/>
            </w:rPr>
            <w:fldChar w:fldCharType="end"/>
          </w:r>
        </w:p>
      </w:sdtContent>
    </w:sdt>
    <w:p w14:paraId="62320D02" w14:textId="77777777" w:rsidR="00CD15DA" w:rsidRPr="00644D4E" w:rsidRDefault="00CD15DA" w:rsidP="009F6599">
      <w:pPr>
        <w:pStyle w:val="TOCHeading"/>
        <w:rPr>
          <w:color w:val="auto"/>
          <w:lang w:val="ro-RO"/>
        </w:rPr>
      </w:pPr>
    </w:p>
    <w:p w14:paraId="3529E8EF" w14:textId="77777777" w:rsidR="00D945A8" w:rsidRPr="00644D4E" w:rsidRDefault="00D945A8" w:rsidP="001118F9">
      <w:pPr>
        <w:tabs>
          <w:tab w:val="left" w:leader="dot" w:pos="8505"/>
        </w:tabs>
        <w:autoSpaceDE w:val="0"/>
        <w:autoSpaceDN w:val="0"/>
        <w:adjustRightInd w:val="0"/>
        <w:spacing w:before="40" w:after="40" w:line="240" w:lineRule="auto"/>
        <w:jc w:val="both"/>
        <w:rPr>
          <w:rFonts w:ascii="Times New Roman" w:hAnsi="Times New Roman" w:cs="Times New Roman"/>
          <w:sz w:val="24"/>
          <w:szCs w:val="24"/>
          <w:lang w:val="ro-RO"/>
        </w:rPr>
      </w:pPr>
    </w:p>
    <w:p w14:paraId="23D9DF2F" w14:textId="77777777" w:rsidR="00A9190B" w:rsidRPr="00644D4E" w:rsidRDefault="00A9190B" w:rsidP="001118F9">
      <w:pPr>
        <w:tabs>
          <w:tab w:val="left" w:leader="dot" w:pos="8505"/>
        </w:tabs>
        <w:autoSpaceDE w:val="0"/>
        <w:autoSpaceDN w:val="0"/>
        <w:adjustRightInd w:val="0"/>
        <w:spacing w:before="40" w:after="40" w:line="240" w:lineRule="auto"/>
        <w:jc w:val="both"/>
        <w:rPr>
          <w:rFonts w:ascii="Times New Roman" w:hAnsi="Times New Roman" w:cs="Times New Roman"/>
          <w:sz w:val="24"/>
          <w:szCs w:val="24"/>
          <w:lang w:val="ro-RO"/>
        </w:rPr>
      </w:pPr>
    </w:p>
    <w:p w14:paraId="7853D70D" w14:textId="77777777" w:rsidR="00A9190B" w:rsidRPr="00644D4E" w:rsidRDefault="00A9190B" w:rsidP="001118F9">
      <w:pPr>
        <w:tabs>
          <w:tab w:val="left" w:leader="dot" w:pos="8505"/>
        </w:tabs>
        <w:autoSpaceDE w:val="0"/>
        <w:autoSpaceDN w:val="0"/>
        <w:adjustRightInd w:val="0"/>
        <w:spacing w:before="40" w:after="40" w:line="240" w:lineRule="auto"/>
        <w:jc w:val="both"/>
        <w:rPr>
          <w:rFonts w:ascii="Times New Roman" w:hAnsi="Times New Roman" w:cs="Times New Roman"/>
          <w:sz w:val="24"/>
          <w:szCs w:val="24"/>
          <w:lang w:val="ro-RO"/>
        </w:rPr>
      </w:pPr>
    </w:p>
    <w:p w14:paraId="436E0AC7" w14:textId="77777777" w:rsidR="00A9190B" w:rsidRPr="00644D4E" w:rsidRDefault="00A9190B" w:rsidP="001118F9">
      <w:pPr>
        <w:tabs>
          <w:tab w:val="left" w:leader="dot" w:pos="8505"/>
        </w:tabs>
        <w:autoSpaceDE w:val="0"/>
        <w:autoSpaceDN w:val="0"/>
        <w:adjustRightInd w:val="0"/>
        <w:spacing w:before="40" w:after="40" w:line="240" w:lineRule="auto"/>
        <w:jc w:val="both"/>
        <w:rPr>
          <w:rFonts w:ascii="Times New Roman" w:hAnsi="Times New Roman" w:cs="Times New Roman"/>
          <w:sz w:val="24"/>
          <w:szCs w:val="24"/>
          <w:lang w:val="ro-RO"/>
        </w:rPr>
      </w:pPr>
    </w:p>
    <w:p w14:paraId="6FA05446" w14:textId="77777777" w:rsidR="00A9190B" w:rsidRPr="00644D4E" w:rsidRDefault="00A9190B" w:rsidP="001118F9">
      <w:pPr>
        <w:tabs>
          <w:tab w:val="left" w:leader="dot" w:pos="8505"/>
        </w:tabs>
        <w:autoSpaceDE w:val="0"/>
        <w:autoSpaceDN w:val="0"/>
        <w:adjustRightInd w:val="0"/>
        <w:spacing w:before="40" w:after="40" w:line="240" w:lineRule="auto"/>
        <w:jc w:val="both"/>
        <w:rPr>
          <w:rFonts w:ascii="Times New Roman" w:hAnsi="Times New Roman" w:cs="Times New Roman"/>
          <w:sz w:val="24"/>
          <w:szCs w:val="24"/>
          <w:lang w:val="ro-RO"/>
        </w:rPr>
      </w:pPr>
    </w:p>
    <w:p w14:paraId="74CDF56A" w14:textId="77777777" w:rsidR="00A9190B" w:rsidRPr="00644D4E" w:rsidRDefault="00A9190B" w:rsidP="001118F9">
      <w:pPr>
        <w:tabs>
          <w:tab w:val="left" w:leader="dot" w:pos="8505"/>
        </w:tabs>
        <w:autoSpaceDE w:val="0"/>
        <w:autoSpaceDN w:val="0"/>
        <w:adjustRightInd w:val="0"/>
        <w:spacing w:before="40" w:after="40" w:line="240" w:lineRule="auto"/>
        <w:jc w:val="both"/>
        <w:rPr>
          <w:rFonts w:ascii="Times New Roman" w:hAnsi="Times New Roman" w:cs="Times New Roman"/>
          <w:sz w:val="24"/>
          <w:szCs w:val="24"/>
          <w:lang w:val="ro-RO"/>
        </w:rPr>
      </w:pPr>
    </w:p>
    <w:p w14:paraId="1C4CEA9B" w14:textId="77777777" w:rsidR="00A9190B" w:rsidRPr="00644D4E" w:rsidRDefault="00A9190B" w:rsidP="001118F9">
      <w:pPr>
        <w:tabs>
          <w:tab w:val="left" w:leader="dot" w:pos="8505"/>
        </w:tabs>
        <w:autoSpaceDE w:val="0"/>
        <w:autoSpaceDN w:val="0"/>
        <w:adjustRightInd w:val="0"/>
        <w:spacing w:before="40" w:after="40" w:line="240" w:lineRule="auto"/>
        <w:jc w:val="both"/>
        <w:rPr>
          <w:rFonts w:ascii="Times New Roman" w:hAnsi="Times New Roman" w:cs="Times New Roman"/>
          <w:sz w:val="24"/>
          <w:szCs w:val="24"/>
          <w:lang w:val="ro-RO"/>
        </w:rPr>
      </w:pPr>
    </w:p>
    <w:p w14:paraId="4DD102F7" w14:textId="77777777" w:rsidR="00A9190B" w:rsidRPr="00644D4E" w:rsidRDefault="00A9190B" w:rsidP="001118F9">
      <w:pPr>
        <w:tabs>
          <w:tab w:val="left" w:leader="dot" w:pos="8505"/>
        </w:tabs>
        <w:autoSpaceDE w:val="0"/>
        <w:autoSpaceDN w:val="0"/>
        <w:adjustRightInd w:val="0"/>
        <w:spacing w:before="40" w:after="40" w:line="240" w:lineRule="auto"/>
        <w:jc w:val="both"/>
        <w:rPr>
          <w:rFonts w:ascii="Times New Roman" w:hAnsi="Times New Roman" w:cs="Times New Roman"/>
          <w:sz w:val="24"/>
          <w:szCs w:val="24"/>
          <w:lang w:val="ro-RO"/>
        </w:rPr>
      </w:pPr>
    </w:p>
    <w:p w14:paraId="666BA295" w14:textId="77777777" w:rsidR="00A9190B" w:rsidRPr="00644D4E" w:rsidRDefault="00A9190B" w:rsidP="001118F9">
      <w:pPr>
        <w:tabs>
          <w:tab w:val="left" w:leader="dot" w:pos="8505"/>
        </w:tabs>
        <w:autoSpaceDE w:val="0"/>
        <w:autoSpaceDN w:val="0"/>
        <w:adjustRightInd w:val="0"/>
        <w:spacing w:before="40" w:after="40" w:line="240" w:lineRule="auto"/>
        <w:jc w:val="both"/>
        <w:rPr>
          <w:rFonts w:ascii="Times New Roman" w:hAnsi="Times New Roman" w:cs="Times New Roman"/>
          <w:sz w:val="24"/>
          <w:szCs w:val="24"/>
          <w:lang w:val="ro-RO"/>
        </w:rPr>
      </w:pPr>
    </w:p>
    <w:p w14:paraId="4A491AB3" w14:textId="77777777" w:rsidR="003E302E" w:rsidRPr="00644D4E" w:rsidRDefault="003E302E" w:rsidP="001118F9">
      <w:pPr>
        <w:tabs>
          <w:tab w:val="left" w:leader="dot" w:pos="8505"/>
        </w:tabs>
        <w:autoSpaceDE w:val="0"/>
        <w:autoSpaceDN w:val="0"/>
        <w:adjustRightInd w:val="0"/>
        <w:spacing w:before="40" w:after="40" w:line="240" w:lineRule="auto"/>
        <w:jc w:val="both"/>
        <w:rPr>
          <w:rFonts w:ascii="Times New Roman" w:hAnsi="Times New Roman" w:cs="Times New Roman"/>
          <w:sz w:val="24"/>
          <w:szCs w:val="24"/>
          <w:lang w:val="ro-RO"/>
        </w:rPr>
      </w:pPr>
    </w:p>
    <w:p w14:paraId="7192266E" w14:textId="77777777" w:rsidR="003E302E" w:rsidRPr="00644D4E" w:rsidRDefault="003E302E" w:rsidP="001118F9">
      <w:pPr>
        <w:tabs>
          <w:tab w:val="left" w:leader="dot" w:pos="8505"/>
        </w:tabs>
        <w:autoSpaceDE w:val="0"/>
        <w:autoSpaceDN w:val="0"/>
        <w:adjustRightInd w:val="0"/>
        <w:spacing w:before="40" w:after="40" w:line="240" w:lineRule="auto"/>
        <w:jc w:val="both"/>
        <w:rPr>
          <w:rFonts w:ascii="Times New Roman" w:hAnsi="Times New Roman" w:cs="Times New Roman"/>
          <w:sz w:val="24"/>
          <w:szCs w:val="24"/>
          <w:lang w:val="ro-RO"/>
        </w:rPr>
      </w:pPr>
    </w:p>
    <w:p w14:paraId="0ED94F43" w14:textId="77777777" w:rsidR="006037CD" w:rsidRPr="00644D4E" w:rsidRDefault="006037CD" w:rsidP="001118F9">
      <w:pPr>
        <w:tabs>
          <w:tab w:val="left" w:leader="dot" w:pos="8505"/>
        </w:tabs>
        <w:autoSpaceDE w:val="0"/>
        <w:autoSpaceDN w:val="0"/>
        <w:adjustRightInd w:val="0"/>
        <w:spacing w:before="40" w:after="40" w:line="240" w:lineRule="auto"/>
        <w:jc w:val="both"/>
        <w:rPr>
          <w:rFonts w:ascii="Times New Roman" w:hAnsi="Times New Roman" w:cs="Times New Roman"/>
          <w:sz w:val="24"/>
          <w:szCs w:val="24"/>
          <w:lang w:val="ro-RO"/>
        </w:rPr>
      </w:pPr>
    </w:p>
    <w:p w14:paraId="41C27636" w14:textId="77777777" w:rsidR="00A9190B" w:rsidRPr="00644D4E" w:rsidRDefault="00A9190B" w:rsidP="001118F9">
      <w:pPr>
        <w:tabs>
          <w:tab w:val="left" w:leader="dot" w:pos="8505"/>
        </w:tabs>
        <w:autoSpaceDE w:val="0"/>
        <w:autoSpaceDN w:val="0"/>
        <w:adjustRightInd w:val="0"/>
        <w:spacing w:before="40" w:after="40" w:line="240" w:lineRule="auto"/>
        <w:jc w:val="both"/>
        <w:rPr>
          <w:rFonts w:ascii="Times New Roman" w:hAnsi="Times New Roman" w:cs="Times New Roman"/>
          <w:sz w:val="24"/>
          <w:szCs w:val="24"/>
          <w:lang w:val="ro-RO"/>
        </w:rPr>
      </w:pPr>
    </w:p>
    <w:p w14:paraId="5C3DCA49" w14:textId="77777777" w:rsidR="00034CA0" w:rsidRPr="00644D4E" w:rsidRDefault="00034CA0" w:rsidP="009F6599">
      <w:pPr>
        <w:pStyle w:val="Heading1"/>
      </w:pPr>
      <w:bookmarkStart w:id="0" w:name="_Toc40707640"/>
    </w:p>
    <w:p w14:paraId="49863619" w14:textId="77777777" w:rsidR="006314F4" w:rsidRPr="00644D4E" w:rsidRDefault="006314F4" w:rsidP="006314F4">
      <w:pPr>
        <w:pStyle w:val="Heading1"/>
      </w:pPr>
      <w:bookmarkStart w:id="1" w:name="_Toc138064730"/>
      <w:bookmarkStart w:id="2" w:name="_Toc40868841"/>
      <w:bookmarkStart w:id="3" w:name="_Toc138064741"/>
      <w:bookmarkEnd w:id="0"/>
      <w:r w:rsidRPr="00644D4E">
        <w:lastRenderedPageBreak/>
        <w:t>Capitolul I. Prezentare generală a contextului macroeconomic</w:t>
      </w:r>
      <w:bookmarkEnd w:id="1"/>
      <w:r w:rsidRPr="00644D4E">
        <w:t xml:space="preserve">  </w:t>
      </w:r>
      <w:bookmarkStart w:id="4" w:name="_Toc476126423"/>
    </w:p>
    <w:p w14:paraId="3CD64648" w14:textId="77777777" w:rsidR="006314F4" w:rsidRPr="00644D4E" w:rsidRDefault="006314F4" w:rsidP="0012172D">
      <w:pPr>
        <w:pStyle w:val="Heading2"/>
        <w:spacing w:line="240" w:lineRule="auto"/>
      </w:pPr>
      <w:bookmarkStart w:id="5" w:name="_Toc40707641"/>
      <w:bookmarkStart w:id="6" w:name="_Toc40865755"/>
      <w:bookmarkStart w:id="7" w:name="_Toc138064731"/>
      <w:r w:rsidRPr="00644D4E">
        <w:t>Indicatori macroeconomici</w:t>
      </w:r>
      <w:bookmarkEnd w:id="4"/>
      <w:bookmarkEnd w:id="5"/>
      <w:bookmarkEnd w:id="6"/>
      <w:bookmarkEnd w:id="7"/>
    </w:p>
    <w:p w14:paraId="035312E6" w14:textId="77777777" w:rsidR="006314F4" w:rsidRPr="00644D4E" w:rsidRDefault="006314F4" w:rsidP="0012172D">
      <w:pPr>
        <w:pStyle w:val="NoSpacing"/>
        <w:spacing w:after="120"/>
        <w:jc w:val="both"/>
        <w:rPr>
          <w:rFonts w:ascii="Times New Roman" w:hAnsi="Times New Roman" w:cs="Times New Roman"/>
          <w:sz w:val="24"/>
          <w:szCs w:val="24"/>
          <w:lang w:val="ro-RO"/>
        </w:rPr>
      </w:pPr>
      <w:r w:rsidRPr="00644D4E">
        <w:rPr>
          <w:rFonts w:ascii="Times New Roman" w:hAnsi="Times New Roman" w:cs="Times New Roman"/>
          <w:b/>
          <w:bCs/>
          <w:sz w:val="24"/>
          <w:szCs w:val="24"/>
          <w:lang w:val="ro-RO"/>
        </w:rPr>
        <w:t xml:space="preserve">Produsul intern brut s-a majorat ușor cu 0,7% în anul 2023. </w:t>
      </w:r>
      <w:r w:rsidRPr="00644D4E">
        <w:rPr>
          <w:rFonts w:ascii="Times New Roman" w:hAnsi="Times New Roman" w:cs="Times New Roman"/>
          <w:sz w:val="24"/>
          <w:szCs w:val="24"/>
          <w:lang w:val="ro-RO"/>
        </w:rPr>
        <w:t xml:space="preserve">Crizele din anul 2022, războiul din țara vecină, seceta severă și prețurile ridicate au continuat să influențeze evoluția economiei naționale. Menținerea în descreștere a cererii interne și externe, contextul regional complicat, perturbarea lanțurilor de producție și de aprovizionare cu materie primă au diminuat producția industrială, volumul vânzărilor în comerțul cu amănuntul și ridicata și volumul investițiilor. În același timp, economia a fost susținută de sectorul agricol, sectorul TIC, </w:t>
      </w:r>
      <w:proofErr w:type="spellStart"/>
      <w:r w:rsidRPr="00644D4E">
        <w:rPr>
          <w:rFonts w:ascii="Times New Roman" w:hAnsi="Times New Roman" w:cs="Times New Roman"/>
          <w:sz w:val="24"/>
          <w:szCs w:val="24"/>
          <w:lang w:val="ro-RO"/>
        </w:rPr>
        <w:t>HoReCa</w:t>
      </w:r>
      <w:proofErr w:type="spellEnd"/>
      <w:r w:rsidRPr="00644D4E">
        <w:rPr>
          <w:rFonts w:ascii="Times New Roman" w:hAnsi="Times New Roman" w:cs="Times New Roman"/>
          <w:sz w:val="24"/>
          <w:szCs w:val="24"/>
          <w:lang w:val="ro-RO"/>
        </w:rPr>
        <w:t xml:space="preserve">, serviciile de sănătate și asistență socială și serviciile de învățământ, care s-au revitalizat și au înregistrat evoluții pozitive în 2023. </w:t>
      </w:r>
    </w:p>
    <w:p w14:paraId="2508B3C2" w14:textId="77777777" w:rsidR="006314F4" w:rsidRPr="00644D4E" w:rsidRDefault="006314F4" w:rsidP="0012172D">
      <w:pPr>
        <w:pStyle w:val="BodyText3"/>
        <w:tabs>
          <w:tab w:val="left" w:pos="2977"/>
        </w:tabs>
        <w:spacing w:line="240" w:lineRule="auto"/>
        <w:jc w:val="both"/>
        <w:rPr>
          <w:rFonts w:ascii="Times New Roman" w:hAnsi="Times New Roman"/>
          <w:sz w:val="24"/>
          <w:szCs w:val="24"/>
          <w:lang w:val="ro-RO"/>
        </w:rPr>
      </w:pPr>
      <w:r w:rsidRPr="00644D4E">
        <w:rPr>
          <w:rFonts w:ascii="Times New Roman" w:hAnsi="Times New Roman"/>
          <w:b/>
          <w:bCs/>
          <w:sz w:val="24"/>
          <w:szCs w:val="24"/>
          <w:lang w:val="ro-RO"/>
        </w:rPr>
        <w:t xml:space="preserve">Sectorul industrial s-a menținut în declin, fiind influențat de cererea externă anemică, consecințele crizei energetice și războiul din țara vecină. </w:t>
      </w:r>
      <w:r w:rsidRPr="00644D4E">
        <w:rPr>
          <w:rFonts w:ascii="Times New Roman" w:hAnsi="Times New Roman"/>
          <w:sz w:val="24"/>
          <w:szCs w:val="24"/>
          <w:lang w:val="ro-RO"/>
        </w:rPr>
        <w:t xml:space="preserve">În anul 2023 producția industrială a descrescut cu 3,6%, nereușind să se revigoreze după crizele multiple din anul 2022, an în care industria a înregistrat o scădere a producției de 5,1%. </w:t>
      </w:r>
    </w:p>
    <w:p w14:paraId="59E4E7C7" w14:textId="77777777" w:rsidR="006314F4" w:rsidRPr="00644D4E" w:rsidRDefault="006314F4" w:rsidP="0012172D">
      <w:pPr>
        <w:pStyle w:val="NoSpacing"/>
        <w:tabs>
          <w:tab w:val="left" w:pos="2552"/>
        </w:tabs>
        <w:spacing w:after="120"/>
        <w:jc w:val="both"/>
        <w:rPr>
          <w:rFonts w:ascii="Times New Roman" w:hAnsi="Times New Roman" w:cs="Times New Roman"/>
          <w:sz w:val="24"/>
          <w:szCs w:val="24"/>
          <w:lang w:val="ro-RO"/>
        </w:rPr>
      </w:pPr>
      <w:r w:rsidRPr="00644D4E">
        <w:rPr>
          <w:rFonts w:ascii="Times New Roman" w:hAnsi="Times New Roman" w:cs="Times New Roman"/>
          <w:b/>
          <w:bCs/>
          <w:sz w:val="24"/>
          <w:szCs w:val="24"/>
          <w:lang w:val="ro-RO"/>
        </w:rPr>
        <w:t xml:space="preserve">Recolta înaltă a culturilor cerealiere a influențat creșterea volumului producției agricole. </w:t>
      </w:r>
      <w:r w:rsidRPr="00644D4E">
        <w:rPr>
          <w:rFonts w:ascii="Times New Roman" w:hAnsi="Times New Roman" w:cs="Times New Roman"/>
          <w:sz w:val="24"/>
          <w:szCs w:val="24"/>
          <w:lang w:val="ro-RO"/>
        </w:rPr>
        <w:t xml:space="preserve">Producția agricolă în toate categoriile de gospodării în anul 2023 a fost superioară celei obținute în anul 2022 cu 23,6% (în prețuri comparabile). </w:t>
      </w:r>
    </w:p>
    <w:p w14:paraId="3D9CA704" w14:textId="77777777" w:rsidR="006314F4" w:rsidRPr="00644D4E" w:rsidRDefault="006314F4" w:rsidP="0012172D">
      <w:pPr>
        <w:pStyle w:val="NoSpacing"/>
        <w:tabs>
          <w:tab w:val="left" w:pos="2552"/>
        </w:tabs>
        <w:spacing w:after="120"/>
        <w:jc w:val="both"/>
        <w:rPr>
          <w:rFonts w:ascii="Times New Roman" w:hAnsi="Times New Roman" w:cs="Times New Roman"/>
          <w:b/>
          <w:sz w:val="24"/>
          <w:szCs w:val="24"/>
          <w:lang w:val="ro-RO"/>
        </w:rPr>
      </w:pPr>
      <w:r w:rsidRPr="00644D4E">
        <w:rPr>
          <w:rFonts w:ascii="Times New Roman" w:hAnsi="Times New Roman" w:cs="Times New Roman"/>
          <w:b/>
          <w:bCs/>
          <w:sz w:val="24"/>
          <w:szCs w:val="24"/>
          <w:lang w:val="ro-RO"/>
        </w:rPr>
        <w:t xml:space="preserve">Temperarea fluxurilor comerciale internaționale a condus la micșorarea venitului din vânzări în serviciile de transport </w:t>
      </w:r>
      <w:r w:rsidRPr="00644D4E">
        <w:rPr>
          <w:rFonts w:ascii="Times New Roman" w:hAnsi="Times New Roman" w:cs="Times New Roman"/>
          <w:sz w:val="24"/>
          <w:szCs w:val="24"/>
          <w:lang w:val="ro-RO"/>
        </w:rPr>
        <w:t xml:space="preserve">cu 23,1% în anul 2023 (în termeni reali), inclusiv transporturi terestre </w:t>
      </w:r>
      <w:proofErr w:type="spellStart"/>
      <w:r w:rsidRPr="00644D4E">
        <w:rPr>
          <w:rFonts w:ascii="Times New Roman" w:hAnsi="Times New Roman" w:cs="Times New Roman"/>
          <w:sz w:val="24"/>
          <w:szCs w:val="24"/>
          <w:lang w:val="ro-RO"/>
        </w:rPr>
        <w:t>şi</w:t>
      </w:r>
      <w:proofErr w:type="spellEnd"/>
      <w:r w:rsidRPr="00644D4E">
        <w:rPr>
          <w:rFonts w:ascii="Times New Roman" w:hAnsi="Times New Roman" w:cs="Times New Roman"/>
          <w:sz w:val="24"/>
          <w:szCs w:val="24"/>
          <w:lang w:val="ro-RO"/>
        </w:rPr>
        <w:t xml:space="preserve"> transporturi prin conducte (-26,4%) și transporturi aeriene (-10,3%). Venitul din vânzări generat de serviciile în transporturile pe apă s-au majorat cu 41,3%. </w:t>
      </w:r>
    </w:p>
    <w:p w14:paraId="3DC0299B" w14:textId="77777777" w:rsidR="006314F4" w:rsidRPr="00644D4E" w:rsidRDefault="006314F4" w:rsidP="0012172D">
      <w:pPr>
        <w:pStyle w:val="NoSpacing"/>
        <w:tabs>
          <w:tab w:val="left" w:pos="2552"/>
        </w:tabs>
        <w:spacing w:after="120"/>
        <w:jc w:val="both"/>
        <w:rPr>
          <w:rFonts w:ascii="Times New Roman" w:hAnsi="Times New Roman" w:cs="Times New Roman"/>
          <w:sz w:val="24"/>
          <w:szCs w:val="24"/>
          <w:lang w:val="ro-RO"/>
        </w:rPr>
      </w:pPr>
      <w:r w:rsidRPr="00644D4E">
        <w:rPr>
          <w:rFonts w:ascii="Times New Roman" w:hAnsi="Times New Roman" w:cs="Times New Roman"/>
          <w:b/>
          <w:bCs/>
          <w:sz w:val="24"/>
          <w:szCs w:val="24"/>
          <w:lang w:val="ro-RO"/>
        </w:rPr>
        <w:t xml:space="preserve">Diminuarea cererii populației și temperarea activității economice au redus veniturile din vânzări în </w:t>
      </w:r>
      <w:proofErr w:type="spellStart"/>
      <w:r w:rsidRPr="00644D4E">
        <w:rPr>
          <w:rFonts w:ascii="Times New Roman" w:hAnsi="Times New Roman" w:cs="Times New Roman"/>
          <w:b/>
          <w:bCs/>
          <w:sz w:val="24"/>
          <w:szCs w:val="24"/>
          <w:lang w:val="ro-RO"/>
        </w:rPr>
        <w:t>comerţ</w:t>
      </w:r>
      <w:proofErr w:type="spellEnd"/>
      <w:r w:rsidRPr="00644D4E">
        <w:rPr>
          <w:rFonts w:ascii="Times New Roman" w:hAnsi="Times New Roman" w:cs="Times New Roman"/>
          <w:bCs/>
          <w:sz w:val="24"/>
          <w:szCs w:val="24"/>
          <w:lang w:val="ro-RO"/>
        </w:rPr>
        <w:t>.</w:t>
      </w:r>
      <w:r w:rsidRPr="00644D4E">
        <w:rPr>
          <w:rFonts w:ascii="Times New Roman" w:hAnsi="Times New Roman" w:cs="Times New Roman"/>
          <w:b/>
          <w:bCs/>
          <w:sz w:val="24"/>
          <w:szCs w:val="24"/>
          <w:lang w:val="ro-RO"/>
        </w:rPr>
        <w:t xml:space="preserve"> </w:t>
      </w:r>
      <w:r w:rsidRPr="00644D4E">
        <w:rPr>
          <w:rFonts w:ascii="Times New Roman" w:hAnsi="Times New Roman" w:cs="Times New Roman"/>
          <w:sz w:val="24"/>
          <w:szCs w:val="24"/>
          <w:lang w:val="ro-RO"/>
        </w:rPr>
        <w:t xml:space="preserve">Veniturile din vânzări în comerțul de bunuri cu amănuntul s-au diminuat cu 0,9% în anul 2023, iar în comerțul de bunuri cu ridicata – cu 15,9%. </w:t>
      </w:r>
    </w:p>
    <w:p w14:paraId="10090165" w14:textId="77777777" w:rsidR="006314F4" w:rsidRPr="00644D4E" w:rsidRDefault="006314F4" w:rsidP="0012172D">
      <w:pPr>
        <w:pStyle w:val="NoSpacing"/>
        <w:tabs>
          <w:tab w:val="left" w:pos="2552"/>
        </w:tabs>
        <w:spacing w:after="120"/>
        <w:jc w:val="both"/>
        <w:rPr>
          <w:rFonts w:ascii="Times New Roman" w:hAnsi="Times New Roman" w:cs="Times New Roman"/>
          <w:sz w:val="24"/>
          <w:szCs w:val="24"/>
          <w:lang w:val="ro-RO"/>
        </w:rPr>
      </w:pPr>
      <w:r w:rsidRPr="00644D4E">
        <w:rPr>
          <w:rFonts w:ascii="Times New Roman" w:hAnsi="Times New Roman" w:cs="Times New Roman"/>
          <w:b/>
          <w:bCs/>
          <w:sz w:val="24"/>
          <w:szCs w:val="24"/>
          <w:lang w:val="ro-RO"/>
        </w:rPr>
        <w:t xml:space="preserve">Activitatea investițională s-a contractat, în contextul conjuncturii economice complicate și a incertitudinii pronunțate. </w:t>
      </w:r>
      <w:r w:rsidRPr="00644D4E">
        <w:rPr>
          <w:rFonts w:ascii="Times New Roman" w:hAnsi="Times New Roman" w:cs="Times New Roman"/>
          <w:sz w:val="24"/>
          <w:szCs w:val="24"/>
          <w:lang w:val="ro-RO"/>
        </w:rPr>
        <w:t xml:space="preserve">În anul 2023 volumul investițiilor în active imobilizate s-a diminuat cu 1%, însumând cca 32,2 </w:t>
      </w:r>
      <w:proofErr w:type="spellStart"/>
      <w:r w:rsidRPr="00644D4E">
        <w:rPr>
          <w:rFonts w:ascii="Times New Roman" w:hAnsi="Times New Roman" w:cs="Times New Roman"/>
          <w:sz w:val="24"/>
          <w:szCs w:val="24"/>
          <w:lang w:val="ro-RO"/>
        </w:rPr>
        <w:t>mild</w:t>
      </w:r>
      <w:proofErr w:type="spellEnd"/>
      <w:r w:rsidRPr="00644D4E">
        <w:rPr>
          <w:rFonts w:ascii="Times New Roman" w:hAnsi="Times New Roman" w:cs="Times New Roman"/>
          <w:sz w:val="24"/>
          <w:szCs w:val="24"/>
          <w:lang w:val="ro-RO"/>
        </w:rPr>
        <w:t xml:space="preserve">. lei. Micșorarea investițiilor finanțate din credite și împrumuturi externe (-23,8%), precum și investițiilor proprii ale agenților economici (-9,2%) au constituit factorii de bază care au influențat diminuarea investițiilor. </w:t>
      </w:r>
    </w:p>
    <w:p w14:paraId="44872A40" w14:textId="77777777" w:rsidR="006314F4" w:rsidRPr="00644D4E" w:rsidRDefault="006314F4" w:rsidP="0012172D">
      <w:pPr>
        <w:pStyle w:val="NoSpacing"/>
        <w:tabs>
          <w:tab w:val="left" w:pos="2552"/>
        </w:tabs>
        <w:spacing w:after="120"/>
        <w:jc w:val="both"/>
        <w:rPr>
          <w:rFonts w:ascii="Times New Roman" w:hAnsi="Times New Roman" w:cs="Times New Roman"/>
          <w:sz w:val="24"/>
          <w:szCs w:val="24"/>
          <w:lang w:val="ro-RO"/>
        </w:rPr>
      </w:pPr>
      <w:r w:rsidRPr="00644D4E">
        <w:rPr>
          <w:rFonts w:ascii="Times New Roman" w:hAnsi="Times New Roman" w:cs="Times New Roman"/>
          <w:b/>
          <w:bCs/>
          <w:sz w:val="24"/>
          <w:szCs w:val="24"/>
          <w:lang w:val="ro-RO"/>
        </w:rPr>
        <w:t xml:space="preserve">Rata anuală a inflației a intrat în intervalul de variație a țintei inflației stabilit de BNM, constituind 4,2% </w:t>
      </w:r>
      <w:r w:rsidRPr="00644D4E">
        <w:rPr>
          <w:rFonts w:ascii="Times New Roman" w:hAnsi="Times New Roman" w:cs="Times New Roman"/>
          <w:sz w:val="24"/>
          <w:szCs w:val="24"/>
          <w:lang w:val="ro-RO"/>
        </w:rPr>
        <w:t>(decembrie 2023 față de decembrie 2022).</w:t>
      </w:r>
    </w:p>
    <w:p w14:paraId="106CB9B0" w14:textId="77777777" w:rsidR="006314F4" w:rsidRPr="00644D4E" w:rsidRDefault="006314F4" w:rsidP="0012172D">
      <w:pPr>
        <w:pStyle w:val="NoSpacing"/>
        <w:spacing w:after="120"/>
        <w:jc w:val="both"/>
        <w:rPr>
          <w:rFonts w:ascii="Times New Roman" w:hAnsi="Times New Roman" w:cs="Times New Roman"/>
          <w:sz w:val="24"/>
          <w:szCs w:val="24"/>
          <w:lang w:val="ro-RO"/>
        </w:rPr>
      </w:pPr>
      <w:r w:rsidRPr="00644D4E">
        <w:rPr>
          <w:rFonts w:ascii="Times New Roman" w:hAnsi="Times New Roman" w:cs="Times New Roman"/>
          <w:b/>
          <w:bCs/>
          <w:sz w:val="24"/>
          <w:szCs w:val="24"/>
          <w:lang w:val="ro-RO"/>
        </w:rPr>
        <w:t xml:space="preserve">Câștigul salarial mediu lunar brut s-a majorat în termeni reali. </w:t>
      </w:r>
      <w:r w:rsidRPr="00644D4E">
        <w:rPr>
          <w:rFonts w:ascii="Times New Roman" w:hAnsi="Times New Roman" w:cs="Times New Roman"/>
          <w:sz w:val="24"/>
          <w:szCs w:val="24"/>
          <w:lang w:val="ro-RO"/>
        </w:rPr>
        <w:t xml:space="preserve">În anul 2023 câștigul salarial mediu lunar brut al unui salariat din economia națională a constituit 12 354,7 lei, în creștere față de anul 2022 cu 17,3% în termeni nominali și cu 3,5% în termeni reali. Exprimat în valută străină acesta a constituit cca 629 </w:t>
      </w:r>
      <w:r w:rsidR="007A43CD" w:rsidRPr="00644D4E">
        <w:rPr>
          <w:rFonts w:ascii="Times New Roman" w:hAnsi="Times New Roman" w:cs="Times New Roman"/>
          <w:sz w:val="24"/>
          <w:szCs w:val="24"/>
          <w:lang w:val="ro-RO"/>
        </w:rPr>
        <w:t>e</w:t>
      </w:r>
      <w:r w:rsidRPr="00644D4E">
        <w:rPr>
          <w:rFonts w:ascii="Times New Roman" w:hAnsi="Times New Roman" w:cs="Times New Roman"/>
          <w:sz w:val="24"/>
          <w:szCs w:val="24"/>
          <w:lang w:val="ro-RO"/>
        </w:rPr>
        <w:t xml:space="preserve">uro sau 680 dolari SUA. În sfera bugetară câștigul salarial mediu lunar a constituit 10 451 lei, în creștere cu 18,2% în termeni nominali și cu 4,2% în termeni reali. În sectorul real al economiei – 13 015,6 lei și s-a majorat cu 17% în termeni nominali, iar în termeni reali cu 3,1%. </w:t>
      </w:r>
    </w:p>
    <w:p w14:paraId="361C3FA6" w14:textId="77777777" w:rsidR="006314F4" w:rsidRPr="00644D4E" w:rsidRDefault="006314F4" w:rsidP="006314F4">
      <w:pPr>
        <w:pStyle w:val="NoSpacing"/>
        <w:spacing w:after="120"/>
        <w:jc w:val="both"/>
        <w:rPr>
          <w:rFonts w:ascii="Times New Roman" w:hAnsi="Times New Roman" w:cs="Times New Roman"/>
          <w:sz w:val="24"/>
          <w:szCs w:val="24"/>
          <w:lang w:val="ro-RO"/>
        </w:rPr>
      </w:pPr>
      <w:r w:rsidRPr="00644D4E">
        <w:rPr>
          <w:rFonts w:ascii="Times New Roman" w:hAnsi="Times New Roman" w:cs="Times New Roman"/>
          <w:b/>
          <w:bCs/>
          <w:sz w:val="24"/>
          <w:szCs w:val="24"/>
          <w:lang w:val="ro-RO"/>
        </w:rPr>
        <w:t xml:space="preserve">Veniturile populației au crescut preponderent din contul activității salariale. </w:t>
      </w:r>
      <w:r w:rsidRPr="00644D4E">
        <w:rPr>
          <w:rFonts w:ascii="Times New Roman" w:hAnsi="Times New Roman" w:cs="Times New Roman"/>
          <w:sz w:val="24"/>
          <w:szCs w:val="24"/>
          <w:lang w:val="ro-RO"/>
        </w:rPr>
        <w:t xml:space="preserve">Veniturile disponibile lunare ale </w:t>
      </w:r>
      <w:proofErr w:type="spellStart"/>
      <w:r w:rsidRPr="00644D4E">
        <w:rPr>
          <w:rFonts w:ascii="Times New Roman" w:hAnsi="Times New Roman" w:cs="Times New Roman"/>
          <w:sz w:val="24"/>
          <w:szCs w:val="24"/>
          <w:lang w:val="ro-RO"/>
        </w:rPr>
        <w:t>populaţiei</w:t>
      </w:r>
      <w:proofErr w:type="spellEnd"/>
      <w:r w:rsidRPr="00644D4E">
        <w:rPr>
          <w:rFonts w:ascii="Times New Roman" w:hAnsi="Times New Roman" w:cs="Times New Roman"/>
          <w:sz w:val="24"/>
          <w:szCs w:val="24"/>
          <w:lang w:val="ro-RO"/>
        </w:rPr>
        <w:t xml:space="preserve"> în anul 2023 au constituit în medie pe o persoană 4 916 lei, în creștere față de anul 2022 cu 15,6% în termeni nominali, iar în termeni reali – cu 1,9%.</w:t>
      </w:r>
    </w:p>
    <w:p w14:paraId="74C28B4F" w14:textId="77777777" w:rsidR="006314F4" w:rsidRPr="00644D4E" w:rsidRDefault="006314F4" w:rsidP="006314F4">
      <w:pPr>
        <w:pStyle w:val="NoSpacing"/>
        <w:spacing w:after="120"/>
        <w:jc w:val="both"/>
        <w:rPr>
          <w:rFonts w:ascii="Times New Roman" w:hAnsi="Times New Roman" w:cs="Times New Roman"/>
          <w:sz w:val="24"/>
          <w:szCs w:val="24"/>
          <w:lang w:val="ro-RO"/>
        </w:rPr>
      </w:pPr>
      <w:r w:rsidRPr="00644D4E">
        <w:rPr>
          <w:rFonts w:ascii="Times New Roman" w:hAnsi="Times New Roman" w:cs="Times New Roman"/>
          <w:b/>
          <w:bCs/>
          <w:sz w:val="24"/>
          <w:szCs w:val="24"/>
          <w:lang w:val="ro-RO"/>
        </w:rPr>
        <w:t xml:space="preserve">Minimul de existență </w:t>
      </w:r>
      <w:r w:rsidRPr="00644D4E">
        <w:rPr>
          <w:rFonts w:ascii="Times New Roman" w:hAnsi="Times New Roman" w:cs="Times New Roman"/>
          <w:sz w:val="24"/>
          <w:szCs w:val="24"/>
          <w:lang w:val="ro-RO"/>
        </w:rPr>
        <w:t xml:space="preserve">în anul 2023 a constituit în medie pe lună pentru o persoană 2877,1 lei, în </w:t>
      </w:r>
      <w:proofErr w:type="spellStart"/>
      <w:r w:rsidRPr="00644D4E">
        <w:rPr>
          <w:rFonts w:ascii="Times New Roman" w:hAnsi="Times New Roman" w:cs="Times New Roman"/>
          <w:sz w:val="24"/>
          <w:szCs w:val="24"/>
          <w:lang w:val="ro-RO"/>
        </w:rPr>
        <w:t>creştere</w:t>
      </w:r>
      <w:proofErr w:type="spellEnd"/>
      <w:r w:rsidRPr="00644D4E">
        <w:rPr>
          <w:rFonts w:ascii="Times New Roman" w:hAnsi="Times New Roman" w:cs="Times New Roman"/>
          <w:sz w:val="24"/>
          <w:szCs w:val="24"/>
          <w:lang w:val="ro-RO"/>
        </w:rPr>
        <w:t xml:space="preserve"> </w:t>
      </w:r>
      <w:proofErr w:type="spellStart"/>
      <w:r w:rsidRPr="00644D4E">
        <w:rPr>
          <w:rFonts w:ascii="Times New Roman" w:hAnsi="Times New Roman" w:cs="Times New Roman"/>
          <w:sz w:val="24"/>
          <w:szCs w:val="24"/>
          <w:lang w:val="ro-RO"/>
        </w:rPr>
        <w:t>faţă</w:t>
      </w:r>
      <w:proofErr w:type="spellEnd"/>
      <w:r w:rsidRPr="00644D4E">
        <w:rPr>
          <w:rFonts w:ascii="Times New Roman" w:hAnsi="Times New Roman" w:cs="Times New Roman"/>
          <w:sz w:val="24"/>
          <w:szCs w:val="24"/>
          <w:lang w:val="ro-RO"/>
        </w:rPr>
        <w:t xml:space="preserve"> de anul 2022 cu 9,5% (în termeni nominali), iar în termeni reali – o diminuare de 3,5%.</w:t>
      </w:r>
    </w:p>
    <w:p w14:paraId="666744E4" w14:textId="77777777" w:rsidR="006314F4" w:rsidRPr="00644D4E" w:rsidRDefault="006314F4" w:rsidP="006314F4">
      <w:pPr>
        <w:pStyle w:val="Heading1"/>
        <w:spacing w:line="240" w:lineRule="auto"/>
        <w:rPr>
          <w:b w:val="0"/>
          <w:sz w:val="24"/>
          <w:szCs w:val="24"/>
        </w:rPr>
      </w:pPr>
      <w:bookmarkStart w:id="8" w:name="_Toc138064732"/>
      <w:r w:rsidRPr="00644D4E">
        <w:rPr>
          <w:bCs/>
          <w:sz w:val="24"/>
          <w:szCs w:val="24"/>
        </w:rPr>
        <w:t>Rata șomajului</w:t>
      </w:r>
      <w:r w:rsidRPr="00644D4E">
        <w:rPr>
          <w:b w:val="0"/>
          <w:bCs/>
          <w:sz w:val="24"/>
          <w:szCs w:val="24"/>
        </w:rPr>
        <w:t xml:space="preserve"> </w:t>
      </w:r>
      <w:r w:rsidRPr="00644D4E">
        <w:rPr>
          <w:b w:val="0"/>
          <w:sz w:val="24"/>
          <w:szCs w:val="24"/>
        </w:rPr>
        <w:t xml:space="preserve">(ponderea șomerilor BIM în populația activă) la nivel de țară în anul 2023 a constituit 4,6%, fiind mai înaltă cu 1,5 </w:t>
      </w:r>
      <w:proofErr w:type="spellStart"/>
      <w:r w:rsidRPr="00644D4E">
        <w:rPr>
          <w:b w:val="0"/>
          <w:sz w:val="24"/>
          <w:szCs w:val="24"/>
        </w:rPr>
        <w:t>p.p.</w:t>
      </w:r>
      <w:proofErr w:type="spellEnd"/>
      <w:r w:rsidRPr="00644D4E">
        <w:rPr>
          <w:b w:val="0"/>
          <w:sz w:val="24"/>
          <w:szCs w:val="24"/>
        </w:rPr>
        <w:t xml:space="preserve"> față de anul 2022 (3,1%). </w:t>
      </w:r>
      <w:bookmarkEnd w:id="8"/>
    </w:p>
    <w:p w14:paraId="22CACDF3" w14:textId="77777777" w:rsidR="006314F4" w:rsidRPr="00644D4E" w:rsidRDefault="006314F4" w:rsidP="006314F4">
      <w:pPr>
        <w:rPr>
          <w:lang w:val="ro-RO" w:eastAsia="en-GB"/>
        </w:rPr>
      </w:pPr>
    </w:p>
    <w:p w14:paraId="594BA510" w14:textId="77777777" w:rsidR="006314F4" w:rsidRPr="00644D4E" w:rsidRDefault="006314F4" w:rsidP="006314F4">
      <w:pPr>
        <w:pStyle w:val="Heading1"/>
        <w:spacing w:line="240" w:lineRule="auto"/>
        <w:rPr>
          <w:sz w:val="24"/>
          <w:szCs w:val="24"/>
        </w:rPr>
      </w:pPr>
      <w:bookmarkStart w:id="9" w:name="_Toc40707642"/>
    </w:p>
    <w:p w14:paraId="46084315" w14:textId="77777777" w:rsidR="006314F4" w:rsidRPr="00644D4E" w:rsidRDefault="006314F4" w:rsidP="006314F4">
      <w:pPr>
        <w:pStyle w:val="Heading1"/>
        <w:spacing w:line="240" w:lineRule="auto"/>
      </w:pPr>
      <w:bookmarkStart w:id="10" w:name="_Toc138064733"/>
      <w:r w:rsidRPr="00644D4E">
        <w:t>Capitolul II. Piața forței de muncă (conform datelor BNS)</w:t>
      </w:r>
      <w:bookmarkEnd w:id="9"/>
      <w:bookmarkEnd w:id="10"/>
    </w:p>
    <w:p w14:paraId="46026887" w14:textId="77777777" w:rsidR="006314F4" w:rsidRPr="00644D4E" w:rsidRDefault="006314F4" w:rsidP="006314F4">
      <w:pPr>
        <w:pStyle w:val="Heading2"/>
        <w:spacing w:line="240" w:lineRule="auto"/>
      </w:pPr>
      <w:bookmarkStart w:id="11" w:name="_Toc40707643"/>
      <w:bookmarkStart w:id="12" w:name="_Toc138064734"/>
      <w:r w:rsidRPr="00644D4E">
        <w:t>2.1. Caracteristicile demografice ale populației</w:t>
      </w:r>
      <w:bookmarkEnd w:id="11"/>
      <w:bookmarkEnd w:id="12"/>
    </w:p>
    <w:p w14:paraId="6570CC19" w14:textId="77777777" w:rsidR="006314F4" w:rsidRPr="00644D4E" w:rsidRDefault="006314F4" w:rsidP="006314F4">
      <w:pPr>
        <w:pStyle w:val="NoSpacing"/>
        <w:spacing w:after="120"/>
        <w:jc w:val="both"/>
        <w:rPr>
          <w:rFonts w:ascii="Times New Roman" w:hAnsi="Times New Roman" w:cs="Times New Roman"/>
          <w:sz w:val="24"/>
          <w:szCs w:val="24"/>
          <w:shd w:val="clear" w:color="auto" w:fill="FFFFFF"/>
          <w:lang w:val="ro-RO" w:eastAsia="ru-RU"/>
        </w:rPr>
      </w:pPr>
      <w:r w:rsidRPr="00644D4E">
        <w:rPr>
          <w:rFonts w:ascii="Times New Roman" w:hAnsi="Times New Roman" w:cs="Times New Roman"/>
          <w:sz w:val="24"/>
          <w:szCs w:val="24"/>
          <w:lang w:val="ro-RO" w:eastAsia="ru-RU"/>
        </w:rPr>
        <w:t xml:space="preserve">Conform datelor Biroului Național de Statistică (BNS), numărul preliminar al populației Republicii Moldova cu reședința obișnuită (populație rezidentă, care cuprinde persoanele care au locuit în ultimele 12 luni pe teritoriul Republicii Moldova (indiferent de absențele temporare)) la 01.01.2023, </w:t>
      </w:r>
      <w:r w:rsidRPr="00644D4E">
        <w:rPr>
          <w:rFonts w:ascii="Times New Roman" w:hAnsi="Times New Roman" w:cs="Times New Roman"/>
          <w:sz w:val="24"/>
          <w:szCs w:val="24"/>
          <w:shd w:val="clear" w:color="auto" w:fill="FFFFFF"/>
          <w:lang w:val="ro-RO" w:eastAsia="ru-RU"/>
        </w:rPr>
        <w:t xml:space="preserve">a constituit </w:t>
      </w:r>
      <w:r w:rsidRPr="00644D4E">
        <w:rPr>
          <w:rFonts w:ascii="Times New Roman" w:hAnsi="Times New Roman" w:cs="Times New Roman"/>
          <w:b/>
          <w:sz w:val="24"/>
          <w:szCs w:val="24"/>
          <w:shd w:val="clear" w:color="auto" w:fill="FFFFFF"/>
          <w:lang w:val="ro-RO" w:eastAsia="ru-RU"/>
        </w:rPr>
        <w:t>2518,8 mii</w:t>
      </w:r>
      <w:r w:rsidRPr="00644D4E">
        <w:rPr>
          <w:rFonts w:ascii="Times New Roman" w:hAnsi="Times New Roman" w:cs="Times New Roman"/>
          <w:sz w:val="24"/>
          <w:szCs w:val="24"/>
          <w:shd w:val="clear" w:color="auto" w:fill="FFFFFF"/>
          <w:lang w:val="ro-RO" w:eastAsia="ru-RU"/>
        </w:rPr>
        <w:t xml:space="preserve"> persoane, </w:t>
      </w:r>
      <w:r w:rsidRPr="00644D4E">
        <w:rPr>
          <w:rFonts w:ascii="Times New Roman" w:hAnsi="Times New Roman" w:cs="Times New Roman"/>
          <w:sz w:val="24"/>
          <w:szCs w:val="24"/>
          <w:lang w:val="ro-RO"/>
        </w:rPr>
        <w:t xml:space="preserve">în scădere cu </w:t>
      </w:r>
      <w:r w:rsidRPr="00644D4E">
        <w:rPr>
          <w:rFonts w:ascii="Times New Roman" w:hAnsi="Times New Roman" w:cs="Times New Roman"/>
          <w:b/>
          <w:sz w:val="24"/>
          <w:szCs w:val="24"/>
          <w:lang w:val="ro-RO"/>
        </w:rPr>
        <w:t>52,3 mii</w:t>
      </w:r>
      <w:r w:rsidRPr="00644D4E">
        <w:rPr>
          <w:rFonts w:ascii="Times New Roman" w:hAnsi="Times New Roman" w:cs="Times New Roman"/>
          <w:sz w:val="24"/>
          <w:szCs w:val="24"/>
          <w:lang w:val="ro-RO"/>
        </w:rPr>
        <w:t xml:space="preserve"> persoane (cu 0,2%) mai </w:t>
      </w:r>
      <w:proofErr w:type="spellStart"/>
      <w:r w:rsidRPr="00644D4E">
        <w:rPr>
          <w:rFonts w:ascii="Times New Roman" w:hAnsi="Times New Roman" w:cs="Times New Roman"/>
          <w:sz w:val="24"/>
          <w:szCs w:val="24"/>
          <w:lang w:val="ro-RO"/>
        </w:rPr>
        <w:t>puţin</w:t>
      </w:r>
      <w:proofErr w:type="spellEnd"/>
      <w:r w:rsidRPr="00644D4E">
        <w:rPr>
          <w:rFonts w:ascii="Times New Roman" w:hAnsi="Times New Roman" w:cs="Times New Roman"/>
          <w:sz w:val="24"/>
          <w:szCs w:val="24"/>
          <w:lang w:val="ro-RO"/>
        </w:rPr>
        <w:t xml:space="preserve"> față de începutul anului precedent</w:t>
      </w:r>
      <w:r w:rsidRPr="00644D4E">
        <w:rPr>
          <w:rFonts w:ascii="Times New Roman" w:hAnsi="Times New Roman" w:cs="Times New Roman"/>
          <w:sz w:val="24"/>
          <w:szCs w:val="24"/>
          <w:shd w:val="clear" w:color="auto" w:fill="FFFFFF"/>
          <w:lang w:val="ro-RO" w:eastAsia="ru-RU"/>
        </w:rPr>
        <w:t xml:space="preserve">. </w:t>
      </w:r>
    </w:p>
    <w:p w14:paraId="3352B8BE" w14:textId="77777777" w:rsidR="006314F4" w:rsidRPr="00644D4E" w:rsidRDefault="006314F4" w:rsidP="006314F4">
      <w:pPr>
        <w:pStyle w:val="NoSpacing"/>
        <w:spacing w:after="120"/>
        <w:jc w:val="both"/>
        <w:rPr>
          <w:rFonts w:ascii="Times New Roman" w:hAnsi="Times New Roman" w:cs="Times New Roman"/>
          <w:sz w:val="24"/>
          <w:szCs w:val="24"/>
          <w:lang w:val="ro-RO"/>
        </w:rPr>
      </w:pPr>
      <w:r w:rsidRPr="00644D4E">
        <w:rPr>
          <w:rFonts w:ascii="Times New Roman" w:hAnsi="Times New Roman" w:cs="Times New Roman"/>
          <w:sz w:val="24"/>
          <w:szCs w:val="24"/>
          <w:lang w:val="ro-RO"/>
        </w:rPr>
        <w:t xml:space="preserve">Populația feminină, la fel ca și în anii precedenți, este dominantă. Conform estimărilor, la începutul anului 2023, populația feminină a constituit </w:t>
      </w:r>
      <w:r w:rsidRPr="00644D4E">
        <w:rPr>
          <w:rFonts w:ascii="Times New Roman" w:hAnsi="Times New Roman" w:cs="Times New Roman"/>
          <w:b/>
          <w:sz w:val="24"/>
          <w:szCs w:val="24"/>
          <w:lang w:val="ro-RO"/>
        </w:rPr>
        <w:t>1325,2</w:t>
      </w:r>
      <w:r w:rsidRPr="00644D4E">
        <w:rPr>
          <w:rFonts w:ascii="Times New Roman" w:hAnsi="Times New Roman" w:cs="Times New Roman"/>
          <w:sz w:val="24"/>
          <w:szCs w:val="24"/>
          <w:lang w:val="ro-RO"/>
        </w:rPr>
        <w:t xml:space="preserve"> mii persoane sau </w:t>
      </w:r>
      <w:r w:rsidRPr="00644D4E">
        <w:rPr>
          <w:rFonts w:ascii="Times New Roman" w:hAnsi="Times New Roman" w:cs="Times New Roman"/>
          <w:b/>
          <w:sz w:val="24"/>
          <w:szCs w:val="24"/>
          <w:lang w:val="ro-RO"/>
        </w:rPr>
        <w:t>52,6%</w:t>
      </w:r>
      <w:r w:rsidRPr="00644D4E">
        <w:rPr>
          <w:rFonts w:ascii="Times New Roman" w:hAnsi="Times New Roman" w:cs="Times New Roman"/>
          <w:sz w:val="24"/>
          <w:szCs w:val="24"/>
          <w:lang w:val="ro-RO"/>
        </w:rPr>
        <w:t xml:space="preserve"> din populația țării. Totodată, populația masculină a reprezentat </w:t>
      </w:r>
      <w:r w:rsidRPr="00644D4E">
        <w:rPr>
          <w:rFonts w:ascii="Times New Roman" w:hAnsi="Times New Roman" w:cs="Times New Roman"/>
          <w:b/>
          <w:sz w:val="24"/>
          <w:szCs w:val="24"/>
          <w:lang w:val="ro-RO"/>
        </w:rPr>
        <w:t>1187,6</w:t>
      </w:r>
      <w:r w:rsidRPr="00644D4E">
        <w:rPr>
          <w:rFonts w:ascii="Times New Roman" w:hAnsi="Times New Roman" w:cs="Times New Roman"/>
          <w:sz w:val="24"/>
          <w:szCs w:val="24"/>
          <w:lang w:val="ro-RO"/>
        </w:rPr>
        <w:t xml:space="preserve"> mii persoane sau </w:t>
      </w:r>
      <w:r w:rsidRPr="00644D4E">
        <w:rPr>
          <w:rFonts w:ascii="Times New Roman" w:hAnsi="Times New Roman" w:cs="Times New Roman"/>
          <w:b/>
          <w:sz w:val="24"/>
          <w:szCs w:val="24"/>
          <w:lang w:val="ro-RO"/>
        </w:rPr>
        <w:t>47,4%</w:t>
      </w:r>
      <w:r w:rsidRPr="00644D4E">
        <w:rPr>
          <w:rFonts w:ascii="Times New Roman" w:hAnsi="Times New Roman" w:cs="Times New Roman"/>
          <w:sz w:val="24"/>
          <w:szCs w:val="24"/>
          <w:lang w:val="ro-RO"/>
        </w:rPr>
        <w:t xml:space="preserve"> din populația țării.</w:t>
      </w:r>
    </w:p>
    <w:p w14:paraId="07862CD0" w14:textId="77777777" w:rsidR="006314F4" w:rsidRPr="00644D4E" w:rsidRDefault="006314F4" w:rsidP="006314F4">
      <w:pPr>
        <w:pStyle w:val="NoSpacing"/>
        <w:jc w:val="both"/>
        <w:rPr>
          <w:rFonts w:ascii="Times New Roman" w:hAnsi="Times New Roman" w:cs="Times New Roman"/>
          <w:sz w:val="24"/>
          <w:szCs w:val="24"/>
          <w:shd w:val="clear" w:color="auto" w:fill="FFFFFF"/>
          <w:lang w:val="ro-RO" w:eastAsia="ru-RU"/>
        </w:rPr>
      </w:pPr>
    </w:p>
    <w:p w14:paraId="4171EE98" w14:textId="77777777" w:rsidR="006314F4" w:rsidRPr="00644D4E" w:rsidRDefault="006314F4" w:rsidP="004C6FFA">
      <w:pPr>
        <w:spacing w:after="60" w:line="240" w:lineRule="auto"/>
        <w:jc w:val="center"/>
        <w:rPr>
          <w:rFonts w:ascii="Times New Roman" w:eastAsiaTheme="minorEastAsia" w:hAnsi="Times New Roman" w:cs="Times New Roman"/>
          <w:lang w:val="ro-RO" w:eastAsia="ru-RU"/>
        </w:rPr>
      </w:pPr>
      <w:r w:rsidRPr="00644D4E">
        <w:rPr>
          <w:rFonts w:ascii="Times New Roman" w:eastAsiaTheme="minorEastAsia" w:hAnsi="Times New Roman" w:cs="Times New Roman"/>
          <w:b/>
          <w:i/>
          <w:shd w:val="clear" w:color="auto" w:fill="FFFFFF"/>
          <w:lang w:val="ro-RO" w:eastAsia="ru-RU"/>
        </w:rPr>
        <w:t>Fig. 2.1.1. Populația cu reședință obișnuită, la 1 ianuarie (2019-2023)</w:t>
      </w:r>
      <w:r w:rsidRPr="00644D4E">
        <w:rPr>
          <w:rFonts w:ascii="Times New Roman" w:eastAsiaTheme="minorEastAsia" w:hAnsi="Times New Roman" w:cs="Times New Roman"/>
          <w:lang w:val="ro-RO" w:eastAsia="ru-RU"/>
        </w:rPr>
        <w:t xml:space="preserve"> milioane</w:t>
      </w:r>
    </w:p>
    <w:p w14:paraId="4ADB1E8D" w14:textId="77777777" w:rsidR="006314F4" w:rsidRPr="00644D4E" w:rsidRDefault="006314F4" w:rsidP="00CC2AF0">
      <w:pPr>
        <w:spacing w:after="60" w:line="240" w:lineRule="auto"/>
        <w:jc w:val="center"/>
        <w:rPr>
          <w:rFonts w:ascii="Times New Roman" w:eastAsiaTheme="minorEastAsia" w:hAnsi="Times New Roman" w:cs="Times New Roman"/>
          <w:sz w:val="24"/>
          <w:szCs w:val="24"/>
          <w:lang w:val="ro-RO" w:eastAsia="ru-RU"/>
        </w:rPr>
      </w:pPr>
      <w:r w:rsidRPr="00644D4E">
        <w:rPr>
          <w:rFonts w:ascii="Times New Roman" w:eastAsiaTheme="minorEastAsia" w:hAnsi="Times New Roman" w:cs="Times New Roman"/>
          <w:sz w:val="24"/>
          <w:szCs w:val="24"/>
          <w:lang w:val="ro-RO"/>
        </w:rPr>
        <w:drawing>
          <wp:inline distT="0" distB="0" distL="0" distR="0" wp14:anchorId="6658C7B4" wp14:editId="76F23F1F">
            <wp:extent cx="4019550" cy="1819275"/>
            <wp:effectExtent l="0" t="0" r="0"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32FDF30" w14:textId="77777777" w:rsidR="006314F4" w:rsidRPr="00644D4E" w:rsidRDefault="006314F4" w:rsidP="006314F4">
      <w:pPr>
        <w:spacing w:after="200" w:line="276" w:lineRule="auto"/>
        <w:jc w:val="both"/>
        <w:rPr>
          <w:rFonts w:ascii="Times New Roman" w:eastAsiaTheme="minorEastAsia" w:hAnsi="Times New Roman" w:cs="Times New Roman"/>
          <w:sz w:val="16"/>
          <w:szCs w:val="16"/>
          <w:lang w:val="ro-RO" w:eastAsia="ru-RU"/>
        </w:rPr>
      </w:pPr>
      <w:r w:rsidRPr="00644D4E">
        <w:rPr>
          <w:rFonts w:ascii="Times New Roman" w:eastAsiaTheme="minorEastAsia" w:hAnsi="Times New Roman" w:cs="Times New Roman"/>
          <w:sz w:val="16"/>
          <w:szCs w:val="16"/>
          <w:lang w:val="ro-RO" w:eastAsia="ru-RU"/>
        </w:rPr>
        <w:t xml:space="preserve">                                         Sursa: BNS</w:t>
      </w:r>
    </w:p>
    <w:p w14:paraId="6E9217B7" w14:textId="77777777" w:rsidR="006314F4" w:rsidRPr="00644D4E" w:rsidRDefault="006314F4" w:rsidP="006314F4">
      <w:pPr>
        <w:spacing w:after="120" w:line="240" w:lineRule="auto"/>
        <w:jc w:val="both"/>
        <w:rPr>
          <w:rFonts w:ascii="Times New Roman" w:eastAsiaTheme="minorEastAsia" w:hAnsi="Times New Roman" w:cs="Times New Roman"/>
          <w:sz w:val="24"/>
          <w:szCs w:val="24"/>
          <w:shd w:val="clear" w:color="auto" w:fill="FFFFFF"/>
          <w:lang w:val="ro-RO" w:eastAsia="ru-RU"/>
        </w:rPr>
      </w:pPr>
      <w:r w:rsidRPr="00644D4E">
        <w:rPr>
          <w:rFonts w:ascii="Times New Roman" w:hAnsi="Times New Roman" w:cs="Times New Roman"/>
          <w:sz w:val="24"/>
          <w:szCs w:val="24"/>
          <w:lang w:val="ro-RO"/>
        </w:rPr>
        <w:t xml:space="preserve">În structura pe grupe de vârstă a populației cu reședință obișnuită la 01.01.2023, cea mai mare pondere, de 8,2%, au avut-o persoanele din grupa de vârstă 35-39 de ani, fiind într-o ușoară creștere (cu 0,2 </w:t>
      </w:r>
      <w:proofErr w:type="spellStart"/>
      <w:r w:rsidRPr="00644D4E">
        <w:rPr>
          <w:rFonts w:ascii="Times New Roman" w:hAnsi="Times New Roman" w:cs="Times New Roman"/>
          <w:sz w:val="24"/>
          <w:szCs w:val="24"/>
          <w:lang w:val="ro-RO"/>
        </w:rPr>
        <w:t>p.p.</w:t>
      </w:r>
      <w:proofErr w:type="spellEnd"/>
      <w:r w:rsidRPr="00644D4E">
        <w:rPr>
          <w:rFonts w:ascii="Times New Roman" w:hAnsi="Times New Roman" w:cs="Times New Roman"/>
          <w:sz w:val="24"/>
          <w:szCs w:val="24"/>
          <w:lang w:val="ro-RO"/>
        </w:rPr>
        <w:t xml:space="preserve">) comparativ cu anul precedent (8,0% la începutul anului 2022). Aceeași grupă de vârstă a avut cea mai mare pondere și în rândul populației masculine (8,7%), în timp ce în rândul populației feminine cea mai mare pondere a avut-o grupa de vârstă 60-64 ani (8,2%) Din grupele de vârstă tinere </w:t>
      </w:r>
      <w:proofErr w:type="spellStart"/>
      <w:r w:rsidRPr="00644D4E">
        <w:rPr>
          <w:rFonts w:ascii="Times New Roman" w:hAnsi="Times New Roman" w:cs="Times New Roman"/>
          <w:sz w:val="24"/>
          <w:szCs w:val="24"/>
          <w:lang w:val="ro-RO"/>
        </w:rPr>
        <w:t>şi</w:t>
      </w:r>
      <w:proofErr w:type="spellEnd"/>
      <w:r w:rsidRPr="00644D4E">
        <w:rPr>
          <w:rFonts w:ascii="Times New Roman" w:hAnsi="Times New Roman" w:cs="Times New Roman"/>
          <w:sz w:val="24"/>
          <w:szCs w:val="24"/>
          <w:lang w:val="ro-RO"/>
        </w:rPr>
        <w:t xml:space="preserve"> mature, grupa de vârstă de 20-24 ani a înregistrat ponderea cea mai mică – de cca 5% </w:t>
      </w:r>
      <w:r w:rsidRPr="00644D4E">
        <w:rPr>
          <w:rFonts w:ascii="Times New Roman" w:eastAsiaTheme="minorEastAsia" w:hAnsi="Times New Roman" w:cs="Times New Roman"/>
          <w:sz w:val="24"/>
          <w:szCs w:val="24"/>
          <w:shd w:val="clear" w:color="auto" w:fill="FFFFFF"/>
          <w:lang w:val="ro-RO" w:eastAsia="ru-RU"/>
        </w:rPr>
        <w:t>(</w:t>
      </w:r>
      <w:r w:rsidRPr="00644D4E">
        <w:rPr>
          <w:rFonts w:ascii="Times New Roman" w:eastAsiaTheme="minorEastAsia" w:hAnsi="Times New Roman" w:cs="Times New Roman"/>
          <w:iCs/>
          <w:sz w:val="24"/>
          <w:szCs w:val="24"/>
          <w:shd w:val="clear" w:color="auto" w:fill="FFFFFF"/>
          <w:lang w:val="ro-RO" w:eastAsia="ru-RU"/>
        </w:rPr>
        <w:t>Figura 2.1.2</w:t>
      </w:r>
      <w:r w:rsidRPr="00644D4E">
        <w:rPr>
          <w:rFonts w:ascii="Times New Roman" w:eastAsiaTheme="minorEastAsia" w:hAnsi="Times New Roman" w:cs="Times New Roman"/>
          <w:sz w:val="24"/>
          <w:szCs w:val="24"/>
          <w:shd w:val="clear" w:color="auto" w:fill="FFFFFF"/>
          <w:lang w:val="ro-RO" w:eastAsia="ru-RU"/>
        </w:rPr>
        <w:t>).</w:t>
      </w:r>
    </w:p>
    <w:p w14:paraId="75A4BB2B" w14:textId="77777777" w:rsidR="006314F4" w:rsidRPr="00644D4E" w:rsidRDefault="006314F4" w:rsidP="006314F4">
      <w:pPr>
        <w:spacing w:after="0" w:line="240" w:lineRule="auto"/>
        <w:jc w:val="center"/>
        <w:rPr>
          <w:rFonts w:ascii="Times New Roman" w:eastAsiaTheme="minorEastAsia" w:hAnsi="Times New Roman" w:cs="Times New Roman"/>
          <w:b/>
          <w:i/>
          <w:lang w:val="ro-RO" w:eastAsia="ru-RU"/>
        </w:rPr>
      </w:pPr>
      <w:r w:rsidRPr="00644D4E">
        <w:rPr>
          <w:rFonts w:ascii="Times New Roman" w:eastAsiaTheme="minorEastAsia" w:hAnsi="Times New Roman" w:cs="Times New Roman"/>
          <w:b/>
          <w:i/>
          <w:lang w:val="ro-RO" w:eastAsia="ru-RU"/>
        </w:rPr>
        <w:t>Fig. 2.1.2. Distribuția populației cu reședință obișnuită, pe grupe de vârstă,</w:t>
      </w:r>
    </w:p>
    <w:p w14:paraId="4BAD4BD8" w14:textId="77777777" w:rsidR="006314F4" w:rsidRPr="00644D4E" w:rsidRDefault="006314F4" w:rsidP="004C6FFA">
      <w:pPr>
        <w:spacing w:after="60" w:line="240" w:lineRule="auto"/>
        <w:jc w:val="center"/>
        <w:rPr>
          <w:rFonts w:ascii="Times New Roman" w:eastAsiaTheme="minorEastAsia" w:hAnsi="Times New Roman" w:cs="Times New Roman"/>
          <w:b/>
          <w:i/>
          <w:lang w:val="ro-RO" w:eastAsia="ru-RU"/>
        </w:rPr>
      </w:pPr>
      <w:r w:rsidRPr="00644D4E">
        <w:rPr>
          <w:rFonts w:ascii="Times New Roman" w:eastAsiaTheme="minorEastAsia" w:hAnsi="Times New Roman" w:cs="Times New Roman"/>
          <w:b/>
          <w:i/>
          <w:lang w:val="ro-RO" w:eastAsia="ru-RU"/>
        </w:rPr>
        <w:t xml:space="preserve"> la 1 ianuarie 2022 și 2023,%</w:t>
      </w:r>
    </w:p>
    <w:p w14:paraId="5243749C" w14:textId="77777777" w:rsidR="006314F4" w:rsidRPr="00644D4E" w:rsidRDefault="006314F4" w:rsidP="00CC2AF0">
      <w:pPr>
        <w:spacing w:after="60" w:line="240" w:lineRule="auto"/>
        <w:jc w:val="center"/>
        <w:rPr>
          <w:rFonts w:ascii="Times New Roman" w:eastAsiaTheme="minorEastAsia" w:hAnsi="Times New Roman" w:cs="Times New Roman"/>
          <w:sz w:val="24"/>
          <w:szCs w:val="24"/>
          <w:shd w:val="clear" w:color="auto" w:fill="FFFFFF"/>
          <w:lang w:val="ro-RO" w:eastAsia="ru-RU"/>
        </w:rPr>
      </w:pPr>
      <w:r w:rsidRPr="00644D4E">
        <w:rPr>
          <w:lang w:val="ro-RO"/>
        </w:rPr>
        <w:drawing>
          <wp:inline distT="0" distB="0" distL="0" distR="0" wp14:anchorId="466C7655" wp14:editId="4A046E46">
            <wp:extent cx="6119495" cy="2524125"/>
            <wp:effectExtent l="0" t="0" r="14605" b="9525"/>
            <wp:docPr id="8" name="Chart 8">
              <a:extLst xmlns:a="http://schemas.openxmlformats.org/drawingml/2006/main">
                <a:ext uri="{FF2B5EF4-FFF2-40B4-BE49-F238E27FC236}">
                  <a16:creationId xmlns:a16="http://schemas.microsoft.com/office/drawing/2014/main" id="{198C96EE-28EA-6DAB-25BF-6A5789AD6B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0DD6808" w14:textId="77777777" w:rsidR="006314F4" w:rsidRPr="00644D4E" w:rsidRDefault="006314F4" w:rsidP="006314F4">
      <w:pPr>
        <w:spacing w:after="120" w:line="240" w:lineRule="auto"/>
        <w:jc w:val="both"/>
        <w:rPr>
          <w:rFonts w:ascii="Times New Roman" w:eastAsiaTheme="minorEastAsia" w:hAnsi="Times New Roman" w:cs="Times New Roman"/>
          <w:sz w:val="16"/>
          <w:szCs w:val="16"/>
          <w:lang w:val="ro-RO" w:eastAsia="ru-RU"/>
        </w:rPr>
      </w:pPr>
      <w:r w:rsidRPr="00644D4E">
        <w:rPr>
          <w:rFonts w:ascii="Times New Roman" w:eastAsiaTheme="minorEastAsia" w:hAnsi="Times New Roman" w:cs="Times New Roman"/>
          <w:sz w:val="16"/>
          <w:szCs w:val="16"/>
          <w:lang w:val="ro-RO" w:eastAsia="ru-RU"/>
        </w:rPr>
        <w:t>Sursa: BNS</w:t>
      </w:r>
    </w:p>
    <w:p w14:paraId="48ECA8D6" w14:textId="77777777" w:rsidR="006314F4" w:rsidRPr="00644D4E" w:rsidRDefault="006314F4" w:rsidP="006314F4">
      <w:pPr>
        <w:spacing w:after="120" w:line="240" w:lineRule="auto"/>
        <w:jc w:val="both"/>
        <w:rPr>
          <w:rFonts w:ascii="Times New Roman" w:eastAsiaTheme="minorEastAsia" w:hAnsi="Times New Roman" w:cs="Times New Roman"/>
          <w:sz w:val="24"/>
          <w:szCs w:val="24"/>
          <w:shd w:val="clear" w:color="auto" w:fill="FFFFFF"/>
          <w:lang w:val="ro-RO" w:eastAsia="ru-RU"/>
        </w:rPr>
      </w:pPr>
      <w:r w:rsidRPr="00644D4E">
        <w:rPr>
          <w:rFonts w:ascii="Times New Roman" w:eastAsiaTheme="minorEastAsia" w:hAnsi="Times New Roman" w:cs="Times New Roman"/>
          <w:sz w:val="24"/>
          <w:szCs w:val="24"/>
          <w:shd w:val="clear" w:color="auto" w:fill="FFFFFF"/>
          <w:lang w:val="ro-RO" w:eastAsia="ru-RU"/>
        </w:rPr>
        <w:lastRenderedPageBreak/>
        <w:t>Numărul estimat al populației cu reședința obișnuită în Republica Moldova la începutul anului 2022, relevă în continuare tendința de îmbătrânire a populației prin creșterea proporțiilor de adulți și vârstnici, în timp ce proporțiile de copii și adolescenți fiind în continuă scădere.</w:t>
      </w:r>
    </w:p>
    <w:p w14:paraId="3A1600D8" w14:textId="77777777" w:rsidR="006314F4" w:rsidRPr="00644D4E" w:rsidRDefault="006314F4" w:rsidP="006314F4">
      <w:pPr>
        <w:spacing w:after="120" w:line="240" w:lineRule="auto"/>
        <w:jc w:val="both"/>
        <w:rPr>
          <w:rFonts w:ascii="Times New Roman" w:hAnsi="Times New Roman" w:cs="Times New Roman"/>
          <w:sz w:val="24"/>
          <w:szCs w:val="24"/>
          <w:lang w:val="ro-RO"/>
        </w:rPr>
      </w:pPr>
      <w:r w:rsidRPr="00644D4E">
        <w:rPr>
          <w:rFonts w:ascii="Times New Roman" w:hAnsi="Times New Roman" w:cs="Times New Roman"/>
          <w:sz w:val="24"/>
          <w:szCs w:val="24"/>
          <w:lang w:val="ro-RO"/>
        </w:rPr>
        <w:t>Pe categorii majore de vârstă, contingentul persoanelor în vârstă aptă de muncă constituie cea mai înaltă pondere în totalul populației. La 01.01.2023 grupa de vârstă 15-64</w:t>
      </w:r>
      <w:r w:rsidRPr="00644D4E">
        <w:rPr>
          <w:rFonts w:ascii="Times New Roman" w:hAnsi="Times New Roman" w:cs="Times New Roman"/>
          <w:sz w:val="24"/>
          <w:szCs w:val="24"/>
          <w:vertAlign w:val="superscript"/>
          <w:lang w:val="ro-RO"/>
        </w:rPr>
        <w:t>5</w:t>
      </w:r>
      <w:r w:rsidRPr="00644D4E">
        <w:rPr>
          <w:rFonts w:ascii="Times New Roman" w:hAnsi="Times New Roman" w:cs="Times New Roman"/>
          <w:sz w:val="24"/>
          <w:szCs w:val="24"/>
          <w:lang w:val="ro-RO"/>
        </w:rPr>
        <w:t xml:space="preserve"> ani avea un efectiv de 1656,0 mii persoane sau 65,9% din populația totală. Valoarea acestui indicator pentru populația în vârstă aptă de muncă conform legislației naționale (16-59 ani pentru femei și 16-62 ani pentru bărbați) a fost de 59,0%.</w:t>
      </w:r>
    </w:p>
    <w:p w14:paraId="792B415F" w14:textId="77777777" w:rsidR="006314F4" w:rsidRPr="00644D4E" w:rsidRDefault="006314F4" w:rsidP="006314F4">
      <w:pPr>
        <w:spacing w:after="120" w:line="240" w:lineRule="auto"/>
        <w:jc w:val="both"/>
        <w:rPr>
          <w:rFonts w:ascii="Times New Roman" w:hAnsi="Times New Roman" w:cs="Times New Roman"/>
          <w:sz w:val="24"/>
          <w:szCs w:val="24"/>
          <w:lang w:val="ro-RO"/>
        </w:rPr>
      </w:pPr>
      <w:r w:rsidRPr="00644D4E">
        <w:rPr>
          <w:rStyle w:val="Strong"/>
          <w:rFonts w:ascii="Times New Roman" w:hAnsi="Times New Roman" w:cs="Times New Roman"/>
          <w:sz w:val="24"/>
          <w:szCs w:val="24"/>
          <w:lang w:val="ro-RO"/>
        </w:rPr>
        <w:t>Vârsta medie</w:t>
      </w:r>
      <w:r w:rsidRPr="00644D4E">
        <w:rPr>
          <w:rFonts w:ascii="Times New Roman" w:hAnsi="Times New Roman" w:cs="Times New Roman"/>
          <w:sz w:val="24"/>
          <w:szCs w:val="24"/>
          <w:lang w:val="ro-RO"/>
        </w:rPr>
        <w:t xml:space="preserve"> a </w:t>
      </w:r>
      <w:proofErr w:type="spellStart"/>
      <w:r w:rsidRPr="00644D4E">
        <w:rPr>
          <w:rFonts w:ascii="Times New Roman" w:hAnsi="Times New Roman" w:cs="Times New Roman"/>
          <w:sz w:val="24"/>
          <w:szCs w:val="24"/>
          <w:lang w:val="ro-RO"/>
        </w:rPr>
        <w:t>populaţiei</w:t>
      </w:r>
      <w:proofErr w:type="spellEnd"/>
      <w:r w:rsidRPr="00644D4E">
        <w:rPr>
          <w:rFonts w:ascii="Times New Roman" w:hAnsi="Times New Roman" w:cs="Times New Roman"/>
          <w:sz w:val="24"/>
          <w:szCs w:val="24"/>
          <w:lang w:val="ro-RO"/>
        </w:rPr>
        <w:t xml:space="preserve"> la 1 ianuarie 2023 a crescut cu 0,4 ani comparativ cu anul precedent (de la 39,9 ani la 40,3 ani). Vârsta medie a </w:t>
      </w:r>
      <w:proofErr w:type="spellStart"/>
      <w:r w:rsidRPr="00644D4E">
        <w:rPr>
          <w:rFonts w:ascii="Times New Roman" w:hAnsi="Times New Roman" w:cs="Times New Roman"/>
          <w:sz w:val="24"/>
          <w:szCs w:val="24"/>
          <w:lang w:val="ro-RO"/>
        </w:rPr>
        <w:t>populaţiei</w:t>
      </w:r>
      <w:proofErr w:type="spellEnd"/>
      <w:r w:rsidRPr="00644D4E">
        <w:rPr>
          <w:rFonts w:ascii="Times New Roman" w:hAnsi="Times New Roman" w:cs="Times New Roman"/>
          <w:sz w:val="24"/>
          <w:szCs w:val="24"/>
          <w:lang w:val="ro-RO"/>
        </w:rPr>
        <w:t xml:space="preserve"> feminine a constituit 42,1 ani, fiind cu 3,8 mai mare față de vârsta medie a </w:t>
      </w:r>
      <w:proofErr w:type="spellStart"/>
      <w:r w:rsidRPr="00644D4E">
        <w:rPr>
          <w:rFonts w:ascii="Times New Roman" w:hAnsi="Times New Roman" w:cs="Times New Roman"/>
          <w:sz w:val="24"/>
          <w:szCs w:val="24"/>
          <w:lang w:val="ro-RO"/>
        </w:rPr>
        <w:t>populaţiei</w:t>
      </w:r>
      <w:proofErr w:type="spellEnd"/>
      <w:r w:rsidRPr="00644D4E">
        <w:rPr>
          <w:rFonts w:ascii="Times New Roman" w:hAnsi="Times New Roman" w:cs="Times New Roman"/>
          <w:sz w:val="24"/>
          <w:szCs w:val="24"/>
          <w:lang w:val="ro-RO"/>
        </w:rPr>
        <w:t xml:space="preserve"> masculine (38,3 ani).</w:t>
      </w:r>
    </w:p>
    <w:p w14:paraId="0B77D0BA" w14:textId="77777777" w:rsidR="006314F4" w:rsidRPr="00644D4E" w:rsidRDefault="006314F4" w:rsidP="006314F4">
      <w:pPr>
        <w:spacing w:after="120" w:line="240" w:lineRule="auto"/>
        <w:jc w:val="both"/>
        <w:rPr>
          <w:rFonts w:ascii="Times New Roman" w:hAnsi="Times New Roman" w:cs="Times New Roman"/>
          <w:sz w:val="24"/>
          <w:szCs w:val="24"/>
          <w:lang w:val="ro-RO"/>
        </w:rPr>
      </w:pPr>
      <w:r w:rsidRPr="00644D4E">
        <w:rPr>
          <w:rStyle w:val="Strong"/>
          <w:rFonts w:ascii="Times New Roman" w:hAnsi="Times New Roman" w:cs="Times New Roman"/>
          <w:sz w:val="24"/>
          <w:szCs w:val="24"/>
          <w:lang w:val="ro-RO"/>
        </w:rPr>
        <w:t>Piramida populației</w:t>
      </w:r>
      <w:r w:rsidRPr="00644D4E">
        <w:rPr>
          <w:rFonts w:ascii="Times New Roman" w:hAnsi="Times New Roman" w:cs="Times New Roman"/>
          <w:sz w:val="24"/>
          <w:szCs w:val="24"/>
          <w:lang w:val="ro-RO"/>
        </w:rPr>
        <w:t xml:space="preserve"> la începutul anului 2023 arată clar un model de micșorare a populației la vârstele de 36-56 ani, ceea ce reflectă efectul cumulativ al ratelor migrației nete negative pentru adulții tineri din ultimele decenii.</w:t>
      </w:r>
    </w:p>
    <w:p w14:paraId="0E8F22C0" w14:textId="77777777" w:rsidR="006314F4" w:rsidRPr="00644D4E" w:rsidRDefault="006314F4" w:rsidP="004C6FFA">
      <w:pPr>
        <w:spacing w:after="60" w:line="240" w:lineRule="auto"/>
        <w:jc w:val="center"/>
        <w:rPr>
          <w:rFonts w:ascii="Times New Roman" w:eastAsiaTheme="minorEastAsia" w:hAnsi="Times New Roman" w:cs="Times New Roman"/>
          <w:b/>
          <w:i/>
          <w:shd w:val="clear" w:color="auto" w:fill="FFFFFF"/>
          <w:lang w:val="ro-RO" w:eastAsia="ru-RU"/>
        </w:rPr>
      </w:pPr>
      <w:r w:rsidRPr="00644D4E">
        <w:rPr>
          <w:rFonts w:ascii="Times New Roman" w:eastAsiaTheme="minorEastAsia" w:hAnsi="Times New Roman" w:cs="Times New Roman"/>
          <w:b/>
          <w:i/>
          <w:shd w:val="clear" w:color="auto" w:fill="FFFFFF"/>
          <w:lang w:val="ro-RO" w:eastAsia="ru-RU"/>
        </w:rPr>
        <w:t>Fig. 2.1.3. Populația cu reședință obișnuită la 1 ianuarie 2023, pe vârste și sexe (date provizorii)</w:t>
      </w:r>
    </w:p>
    <w:p w14:paraId="2434D58D" w14:textId="77777777" w:rsidR="006314F4" w:rsidRPr="00644D4E" w:rsidRDefault="006314F4" w:rsidP="00CC2AF0">
      <w:pPr>
        <w:spacing w:after="60" w:line="240" w:lineRule="auto"/>
        <w:jc w:val="center"/>
        <w:rPr>
          <w:rFonts w:ascii="Times New Roman" w:hAnsi="Times New Roman" w:cs="Times New Roman"/>
          <w:sz w:val="24"/>
          <w:szCs w:val="24"/>
          <w:lang w:val="ro-RO"/>
        </w:rPr>
      </w:pPr>
      <w:r w:rsidRPr="00644D4E">
        <w:rPr>
          <w:lang w:val="ro-RO"/>
        </w:rPr>
        <w:drawing>
          <wp:inline distT="0" distB="0" distL="0" distR="0" wp14:anchorId="270753A4" wp14:editId="5F2076BE">
            <wp:extent cx="4552950" cy="3105150"/>
            <wp:effectExtent l="0" t="0" r="0" b="0"/>
            <wp:docPr id="19" name="Chart 19">
              <a:extLst xmlns:a="http://schemas.openxmlformats.org/drawingml/2006/main">
                <a:ext uri="{FF2B5EF4-FFF2-40B4-BE49-F238E27FC236}">
                  <a16:creationId xmlns:a16="http://schemas.microsoft.com/office/drawing/2014/main" id="{E9AFBE23-705B-4C66-BC45-F4BB12B7B7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9F145BC" w14:textId="77777777" w:rsidR="006314F4" w:rsidRPr="00644D4E" w:rsidRDefault="006314F4" w:rsidP="006314F4">
      <w:pPr>
        <w:spacing w:after="120" w:line="240" w:lineRule="auto"/>
        <w:jc w:val="both"/>
        <w:rPr>
          <w:rFonts w:ascii="Times New Roman" w:eastAsiaTheme="minorEastAsia" w:hAnsi="Times New Roman" w:cs="Times New Roman"/>
          <w:sz w:val="16"/>
          <w:szCs w:val="16"/>
          <w:lang w:val="ro-RO" w:eastAsia="ru-RU"/>
        </w:rPr>
      </w:pPr>
      <w:r w:rsidRPr="00644D4E">
        <w:rPr>
          <w:rFonts w:ascii="Times New Roman" w:eastAsiaTheme="minorEastAsia" w:hAnsi="Times New Roman" w:cs="Times New Roman"/>
          <w:sz w:val="16"/>
          <w:szCs w:val="16"/>
          <w:lang w:val="ro-RO" w:eastAsia="ru-RU"/>
        </w:rPr>
        <w:t xml:space="preserve">                               Sursa: BNS</w:t>
      </w:r>
    </w:p>
    <w:p w14:paraId="580D0A06" w14:textId="77777777" w:rsidR="006314F4" w:rsidRPr="00644D4E" w:rsidRDefault="006314F4" w:rsidP="006314F4">
      <w:pPr>
        <w:shd w:val="clear" w:color="auto" w:fill="FFFFFF"/>
        <w:spacing w:after="120" w:line="240" w:lineRule="auto"/>
        <w:jc w:val="both"/>
        <w:rPr>
          <w:rFonts w:ascii="Times New Roman" w:eastAsia="Times New Roman" w:hAnsi="Times New Roman" w:cs="Times New Roman"/>
          <w:sz w:val="24"/>
          <w:szCs w:val="24"/>
          <w:lang w:val="ro-RO" w:eastAsia="ru-RU"/>
        </w:rPr>
      </w:pPr>
      <w:r w:rsidRPr="00644D4E">
        <w:rPr>
          <w:rStyle w:val="Strong"/>
          <w:rFonts w:ascii="Times New Roman" w:hAnsi="Times New Roman" w:cs="Times New Roman"/>
          <w:sz w:val="24"/>
          <w:szCs w:val="24"/>
          <w:lang w:val="ro-RO"/>
        </w:rPr>
        <w:t>Coeficientul îmbătrânirii populației</w:t>
      </w:r>
      <w:r w:rsidRPr="00644D4E">
        <w:rPr>
          <w:rFonts w:ascii="Times New Roman" w:hAnsi="Times New Roman" w:cs="Times New Roman"/>
          <w:sz w:val="24"/>
          <w:szCs w:val="24"/>
          <w:lang w:val="ro-RO"/>
        </w:rPr>
        <w:t xml:space="preserve"> (populația în vârstă de 60 de ani și peste la 100 locuitori) la începutul anul 2023 este estimat la 23,8 persoane la 100 locuitori, comparativ cu 23,0 persoane în anul 2022.</w:t>
      </w:r>
      <w:r w:rsidRPr="00644D4E">
        <w:rPr>
          <w:rFonts w:ascii="Times New Roman" w:eastAsia="Times New Roman" w:hAnsi="Times New Roman" w:cs="Times New Roman"/>
          <w:sz w:val="24"/>
          <w:szCs w:val="24"/>
          <w:lang w:val="ro-RO" w:eastAsia="ru-RU"/>
        </w:rPr>
        <w:t xml:space="preserve"> </w:t>
      </w:r>
    </w:p>
    <w:p w14:paraId="07466206" w14:textId="7CF4C0DE" w:rsidR="006314F4" w:rsidRPr="00644D4E" w:rsidRDefault="006314F4" w:rsidP="006314F4">
      <w:pPr>
        <w:pStyle w:val="Heading2"/>
        <w:spacing w:line="240" w:lineRule="auto"/>
      </w:pPr>
      <w:bookmarkStart w:id="13" w:name="_Toc40707644"/>
      <w:bookmarkStart w:id="14" w:name="_Toc138064735"/>
      <w:r w:rsidRPr="00644D4E">
        <w:t>2.2. Piața forței de muncă conform indicatorilor ocupaționali</w:t>
      </w:r>
      <w:bookmarkEnd w:id="13"/>
      <w:bookmarkEnd w:id="14"/>
      <w:r w:rsidRPr="00644D4E">
        <w:t xml:space="preserve"> </w:t>
      </w:r>
    </w:p>
    <w:p w14:paraId="322B2B7D" w14:textId="77777777" w:rsidR="006314F4" w:rsidRPr="00644D4E" w:rsidRDefault="006314F4" w:rsidP="00A94F1E">
      <w:pPr>
        <w:pStyle w:val="Heading3"/>
        <w:rPr>
          <w:color w:val="auto"/>
        </w:rPr>
      </w:pPr>
      <w:bookmarkStart w:id="15" w:name="_Toc40707645"/>
      <w:bookmarkStart w:id="16" w:name="_Toc138064736"/>
      <w:r w:rsidRPr="00644D4E">
        <w:rPr>
          <w:color w:val="auto"/>
        </w:rPr>
        <w:t>2.2.1. Populația de 15 ani și peste după participarea la activitatea economică</w:t>
      </w:r>
      <w:bookmarkEnd w:id="15"/>
      <w:bookmarkEnd w:id="16"/>
    </w:p>
    <w:p w14:paraId="3D3033CD" w14:textId="77777777" w:rsidR="006314F4" w:rsidRPr="00644D4E" w:rsidRDefault="006314F4" w:rsidP="00A94F1E">
      <w:pPr>
        <w:pStyle w:val="Heading3"/>
        <w:spacing w:after="120"/>
        <w:rPr>
          <w:color w:val="auto"/>
        </w:rPr>
      </w:pPr>
      <w:r w:rsidRPr="00644D4E">
        <w:rPr>
          <w:color w:val="auto"/>
        </w:rPr>
        <w:t xml:space="preserve"> </w:t>
      </w:r>
      <w:bookmarkStart w:id="17" w:name="_Toc40707646"/>
      <w:bookmarkStart w:id="18" w:name="_Toc138064737"/>
      <w:r w:rsidRPr="00644D4E">
        <w:rPr>
          <w:color w:val="auto"/>
        </w:rPr>
        <w:t>(forța de muncă, populația ocupată și șomerii)</w:t>
      </w:r>
      <w:bookmarkEnd w:id="17"/>
      <w:bookmarkEnd w:id="18"/>
      <w:r w:rsidRPr="00644D4E">
        <w:rPr>
          <w:color w:val="auto"/>
        </w:rPr>
        <w:t xml:space="preserve"> </w:t>
      </w:r>
    </w:p>
    <w:p w14:paraId="7D400DB2" w14:textId="77777777" w:rsidR="006314F4" w:rsidRPr="00644D4E" w:rsidRDefault="006314F4" w:rsidP="006314F4">
      <w:pPr>
        <w:shd w:val="clear" w:color="auto" w:fill="FFFFFF"/>
        <w:spacing w:after="120" w:line="240" w:lineRule="auto"/>
        <w:jc w:val="both"/>
        <w:rPr>
          <w:rFonts w:ascii="Times New Roman" w:eastAsia="Times New Roman" w:hAnsi="Times New Roman" w:cs="Times New Roman"/>
          <w:sz w:val="24"/>
          <w:szCs w:val="24"/>
          <w:lang w:val="ro-RO" w:eastAsia="ru-RU"/>
        </w:rPr>
      </w:pPr>
      <w:r w:rsidRPr="00644D4E">
        <w:rPr>
          <w:rFonts w:ascii="Times New Roman" w:eastAsia="Times New Roman" w:hAnsi="Times New Roman" w:cs="Times New Roman"/>
          <w:b/>
          <w:sz w:val="24"/>
          <w:szCs w:val="24"/>
          <w:lang w:val="ro-RO" w:eastAsia="ru-RU"/>
        </w:rPr>
        <w:t>Participarea la forța de muncă</w:t>
      </w:r>
      <w:r w:rsidRPr="00644D4E">
        <w:rPr>
          <w:rFonts w:ascii="Times New Roman" w:eastAsia="Times New Roman" w:hAnsi="Times New Roman" w:cs="Times New Roman"/>
          <w:sz w:val="24"/>
          <w:szCs w:val="24"/>
          <w:lang w:val="ro-RO" w:eastAsia="ru-RU"/>
        </w:rPr>
        <w:t>. Conform rezultatelor Anchetei forței de muncă (AFM</w:t>
      </w:r>
      <w:r w:rsidRPr="00644D4E">
        <w:rPr>
          <w:rFonts w:ascii="Times New Roman" w:eastAsia="Times New Roman" w:hAnsi="Times New Roman" w:cs="Times New Roman"/>
          <w:b/>
          <w:sz w:val="24"/>
          <w:szCs w:val="24"/>
          <w:lang w:val="ro-RO" w:eastAsia="ru-RU"/>
        </w:rPr>
        <w:t>)</w:t>
      </w:r>
      <w:r w:rsidRPr="00644D4E">
        <w:rPr>
          <w:rFonts w:ascii="Times New Roman" w:eastAsia="Times New Roman" w:hAnsi="Times New Roman" w:cs="Times New Roman"/>
          <w:sz w:val="24"/>
          <w:szCs w:val="24"/>
          <w:lang w:val="ro-RO" w:eastAsia="ru-RU"/>
        </w:rPr>
        <w:t>,</w:t>
      </w:r>
      <w:r w:rsidRPr="00644D4E">
        <w:rPr>
          <w:rFonts w:ascii="Times New Roman" w:eastAsia="Times New Roman" w:hAnsi="Times New Roman" w:cs="Times New Roman"/>
          <w:bCs/>
          <w:sz w:val="24"/>
          <w:szCs w:val="24"/>
          <w:lang w:val="ro-RO" w:eastAsia="ru-RU"/>
        </w:rPr>
        <w:t> în anul 2023 forța de muncă (populația activă),</w:t>
      </w:r>
      <w:r w:rsidRPr="00644D4E">
        <w:rPr>
          <w:rFonts w:ascii="Times New Roman" w:eastAsia="Times New Roman" w:hAnsi="Times New Roman" w:cs="Times New Roman"/>
          <w:b/>
          <w:sz w:val="24"/>
          <w:szCs w:val="24"/>
          <w:lang w:val="ro-RO" w:eastAsia="ru-RU"/>
        </w:rPr>
        <w:t> </w:t>
      </w:r>
      <w:r w:rsidRPr="00644D4E">
        <w:rPr>
          <w:rFonts w:ascii="Times New Roman" w:eastAsia="Times New Roman" w:hAnsi="Times New Roman" w:cs="Times New Roman"/>
          <w:sz w:val="24"/>
          <w:szCs w:val="24"/>
          <w:lang w:val="ro-RO" w:eastAsia="ru-RU"/>
        </w:rPr>
        <w:t xml:space="preserve">care include populația ocupată plus șomerii, a constituit </w:t>
      </w:r>
      <w:r w:rsidRPr="00644D4E">
        <w:rPr>
          <w:rFonts w:ascii="Times New Roman" w:eastAsia="Times New Roman" w:hAnsi="Times New Roman" w:cs="Times New Roman"/>
          <w:b/>
          <w:sz w:val="24"/>
          <w:szCs w:val="24"/>
          <w:lang w:val="ro-RO" w:eastAsia="ru-RU"/>
        </w:rPr>
        <w:t>929,5 mii</w:t>
      </w:r>
      <w:r w:rsidRPr="00644D4E">
        <w:rPr>
          <w:rFonts w:ascii="Times New Roman" w:eastAsia="Times New Roman" w:hAnsi="Times New Roman" w:cs="Times New Roman"/>
          <w:sz w:val="24"/>
          <w:szCs w:val="24"/>
          <w:lang w:val="ro-RO" w:eastAsia="ru-RU"/>
        </w:rPr>
        <w:t xml:space="preserve"> persoane, fiind în creștere cu </w:t>
      </w:r>
      <w:r w:rsidRPr="00644D4E">
        <w:rPr>
          <w:rFonts w:ascii="Times New Roman" w:eastAsia="Times New Roman" w:hAnsi="Times New Roman" w:cs="Times New Roman"/>
          <w:b/>
          <w:sz w:val="24"/>
          <w:szCs w:val="24"/>
          <w:lang w:val="ro-RO" w:eastAsia="ru-RU"/>
        </w:rPr>
        <w:t>4,4%</w:t>
      </w:r>
      <w:r w:rsidRPr="00644D4E">
        <w:rPr>
          <w:rFonts w:ascii="Times New Roman" w:eastAsia="Times New Roman" w:hAnsi="Times New Roman" w:cs="Times New Roman"/>
          <w:sz w:val="24"/>
          <w:szCs w:val="24"/>
          <w:lang w:val="ro-RO" w:eastAsia="ru-RU"/>
        </w:rPr>
        <w:t xml:space="preserve"> față de anul 2022.</w:t>
      </w:r>
    </w:p>
    <w:p w14:paraId="1D5A57C8" w14:textId="77777777" w:rsidR="006314F4" w:rsidRPr="00644D4E" w:rsidRDefault="006314F4" w:rsidP="006314F4">
      <w:pPr>
        <w:shd w:val="clear" w:color="auto" w:fill="FFFFFF"/>
        <w:spacing w:after="120" w:line="240" w:lineRule="auto"/>
        <w:jc w:val="both"/>
        <w:rPr>
          <w:rFonts w:ascii="Times New Roman" w:eastAsia="Times New Roman" w:hAnsi="Times New Roman" w:cs="Times New Roman"/>
          <w:spacing w:val="-6"/>
          <w:sz w:val="24"/>
          <w:szCs w:val="24"/>
          <w:lang w:val="ro-RO" w:eastAsia="ru-RU"/>
        </w:rPr>
      </w:pPr>
      <w:r w:rsidRPr="00644D4E">
        <w:rPr>
          <w:rFonts w:ascii="Times New Roman" w:eastAsia="Times New Roman" w:hAnsi="Times New Roman" w:cs="Times New Roman"/>
          <w:spacing w:val="-6"/>
          <w:sz w:val="24"/>
          <w:szCs w:val="24"/>
          <w:lang w:val="ro-RO" w:eastAsia="ru-RU"/>
        </w:rPr>
        <w:t xml:space="preserve">Ponderea bărbaților </w:t>
      </w:r>
      <w:r w:rsidRPr="00644D4E">
        <w:rPr>
          <w:rFonts w:ascii="Times New Roman" w:eastAsia="Times New Roman" w:hAnsi="Times New Roman" w:cs="Times New Roman"/>
          <w:sz w:val="24"/>
          <w:szCs w:val="24"/>
          <w:lang w:val="ro-RO" w:eastAsia="ru-RU"/>
        </w:rPr>
        <w:t xml:space="preserve">(50,4%) </w:t>
      </w:r>
      <w:r w:rsidRPr="00644D4E">
        <w:rPr>
          <w:rFonts w:ascii="Times New Roman" w:eastAsia="Times New Roman" w:hAnsi="Times New Roman" w:cs="Times New Roman"/>
          <w:spacing w:val="-6"/>
          <w:sz w:val="24"/>
          <w:szCs w:val="24"/>
          <w:lang w:val="ro-RO" w:eastAsia="ru-RU"/>
        </w:rPr>
        <w:t xml:space="preserve">în cadrul forței de muncă nu </w:t>
      </w:r>
      <w:proofErr w:type="spellStart"/>
      <w:r w:rsidRPr="00644D4E">
        <w:rPr>
          <w:rFonts w:ascii="Times New Roman" w:eastAsia="Times New Roman" w:hAnsi="Times New Roman" w:cs="Times New Roman"/>
          <w:spacing w:val="-6"/>
          <w:sz w:val="24"/>
          <w:szCs w:val="24"/>
          <w:lang w:val="ro-RO" w:eastAsia="ru-RU"/>
        </w:rPr>
        <w:t>depăşeşte</w:t>
      </w:r>
      <w:proofErr w:type="spellEnd"/>
      <w:r w:rsidRPr="00644D4E">
        <w:rPr>
          <w:rFonts w:ascii="Times New Roman" w:eastAsia="Times New Roman" w:hAnsi="Times New Roman" w:cs="Times New Roman"/>
          <w:spacing w:val="-6"/>
          <w:sz w:val="24"/>
          <w:szCs w:val="24"/>
          <w:lang w:val="ro-RO" w:eastAsia="ru-RU"/>
        </w:rPr>
        <w:t xml:space="preserve"> cu mult pe cea a femeilor, </w:t>
      </w:r>
      <w:r w:rsidRPr="00644D4E">
        <w:rPr>
          <w:rFonts w:ascii="Times New Roman" w:eastAsia="Times New Roman" w:hAnsi="Times New Roman" w:cs="Times New Roman"/>
          <w:sz w:val="24"/>
          <w:szCs w:val="24"/>
          <w:lang w:val="ro-RO" w:eastAsia="ru-RU"/>
        </w:rPr>
        <w:t xml:space="preserve">(49,6%), </w:t>
      </w:r>
      <w:r w:rsidRPr="00644D4E">
        <w:rPr>
          <w:rFonts w:ascii="Times New Roman" w:eastAsia="Times New Roman" w:hAnsi="Times New Roman" w:cs="Times New Roman"/>
          <w:spacing w:val="-6"/>
          <w:sz w:val="24"/>
          <w:szCs w:val="24"/>
          <w:lang w:val="ro-RO" w:eastAsia="ru-RU"/>
        </w:rPr>
        <w:t>iar ponderea persoanelor economic active din mediul rural a fost mai mare ca ponderea din mediul urban (</w:t>
      </w:r>
      <w:r w:rsidRPr="00644D4E">
        <w:rPr>
          <w:rFonts w:ascii="Times New Roman" w:eastAsia="Times New Roman" w:hAnsi="Times New Roman" w:cs="Times New Roman"/>
          <w:sz w:val="24"/>
          <w:szCs w:val="24"/>
          <w:lang w:val="ro-RO" w:eastAsia="ru-RU"/>
        </w:rPr>
        <w:t>53,4% și, respectiv, 46,6%).</w:t>
      </w:r>
    </w:p>
    <w:p w14:paraId="2DE65FB6" w14:textId="0CFA43ED" w:rsidR="006314F4" w:rsidRPr="00644D4E" w:rsidRDefault="006314F4" w:rsidP="006314F4">
      <w:pPr>
        <w:shd w:val="clear" w:color="auto" w:fill="FFFFFF"/>
        <w:spacing w:after="120" w:line="240" w:lineRule="auto"/>
        <w:jc w:val="both"/>
        <w:rPr>
          <w:rFonts w:ascii="Times New Roman" w:eastAsia="Times New Roman" w:hAnsi="Times New Roman" w:cs="Times New Roman"/>
          <w:sz w:val="24"/>
          <w:szCs w:val="24"/>
          <w:lang w:val="ro-RO" w:eastAsia="ru-RU"/>
        </w:rPr>
      </w:pPr>
      <w:r w:rsidRPr="00644D4E">
        <w:rPr>
          <w:rFonts w:ascii="Times New Roman" w:eastAsia="Times New Roman" w:hAnsi="Times New Roman" w:cs="Times New Roman"/>
          <w:b/>
          <w:bCs/>
          <w:sz w:val="24"/>
          <w:szCs w:val="24"/>
          <w:lang w:val="ro-RO" w:eastAsia="ru-RU"/>
        </w:rPr>
        <w:t>Rata de participare la forța de muncă a populației de 15 ani și peste</w:t>
      </w:r>
      <w:r w:rsidRPr="00644D4E">
        <w:rPr>
          <w:rFonts w:ascii="Times New Roman" w:eastAsia="Times New Roman" w:hAnsi="Times New Roman" w:cs="Times New Roman"/>
          <w:sz w:val="24"/>
          <w:szCs w:val="24"/>
          <w:lang w:val="ro-RO" w:eastAsia="ru-RU"/>
        </w:rPr>
        <w:t> </w:t>
      </w:r>
      <w:r w:rsidRPr="00644D4E">
        <w:rPr>
          <w:rFonts w:ascii="Times New Roman" w:eastAsia="Times New Roman" w:hAnsi="Times New Roman" w:cs="Times New Roman"/>
          <w:i/>
          <w:iCs/>
          <w:sz w:val="24"/>
          <w:szCs w:val="24"/>
          <w:lang w:val="ro-RO" w:eastAsia="ru-RU"/>
        </w:rPr>
        <w:t>(proporția forței de muncă de 15 ani și peste în populația totală de aceeași categorie de vârstă</w:t>
      </w:r>
      <w:r w:rsidR="00F46ED7" w:rsidRPr="00644D4E">
        <w:rPr>
          <w:rFonts w:ascii="Times New Roman" w:eastAsia="Times New Roman" w:hAnsi="Times New Roman" w:cs="Times New Roman"/>
          <w:i/>
          <w:iCs/>
          <w:sz w:val="24"/>
          <w:szCs w:val="24"/>
          <w:lang w:val="ro-RO" w:eastAsia="ru-RU"/>
        </w:rPr>
        <w:t>)</w:t>
      </w:r>
      <w:r w:rsidRPr="00644D4E">
        <w:rPr>
          <w:rFonts w:ascii="Times New Roman" w:eastAsia="Times New Roman" w:hAnsi="Times New Roman" w:cs="Times New Roman"/>
          <w:sz w:val="24"/>
          <w:szCs w:val="24"/>
          <w:lang w:val="ro-RO" w:eastAsia="ru-RU"/>
        </w:rPr>
        <w:t xml:space="preserve"> a constituit – </w:t>
      </w:r>
      <w:r w:rsidRPr="00644D4E">
        <w:rPr>
          <w:rFonts w:ascii="Times New Roman" w:eastAsia="Times New Roman" w:hAnsi="Times New Roman" w:cs="Times New Roman"/>
          <w:b/>
          <w:sz w:val="24"/>
          <w:szCs w:val="24"/>
          <w:lang w:val="ro-RO" w:eastAsia="ru-RU"/>
        </w:rPr>
        <w:t>45,1%</w:t>
      </w:r>
      <w:r w:rsidRPr="00644D4E">
        <w:rPr>
          <w:rFonts w:ascii="Times New Roman" w:eastAsia="Times New Roman" w:hAnsi="Times New Roman" w:cs="Times New Roman"/>
          <w:sz w:val="24"/>
          <w:szCs w:val="24"/>
          <w:lang w:val="ro-RO" w:eastAsia="ru-RU"/>
        </w:rPr>
        <w:t xml:space="preserve">, fiind în </w:t>
      </w:r>
      <w:proofErr w:type="spellStart"/>
      <w:r w:rsidRPr="00644D4E">
        <w:rPr>
          <w:rFonts w:ascii="Times New Roman" w:eastAsia="Times New Roman" w:hAnsi="Times New Roman" w:cs="Times New Roman"/>
          <w:sz w:val="24"/>
          <w:szCs w:val="24"/>
          <w:lang w:val="ro-RO" w:eastAsia="ru-RU"/>
        </w:rPr>
        <w:lastRenderedPageBreak/>
        <w:t>creştere</w:t>
      </w:r>
      <w:proofErr w:type="spellEnd"/>
      <w:r w:rsidRPr="00644D4E">
        <w:rPr>
          <w:rFonts w:ascii="Times New Roman" w:eastAsia="Times New Roman" w:hAnsi="Times New Roman" w:cs="Times New Roman"/>
          <w:sz w:val="24"/>
          <w:szCs w:val="24"/>
          <w:lang w:val="ro-RO" w:eastAsia="ru-RU"/>
        </w:rPr>
        <w:t xml:space="preserve"> față  de valoarea anului precedent (în anul 2022 – 41,8%). Acest indicator a atins valori mai înalte în rândul </w:t>
      </w:r>
      <w:proofErr w:type="spellStart"/>
      <w:r w:rsidRPr="00644D4E">
        <w:rPr>
          <w:rFonts w:ascii="Times New Roman" w:eastAsia="Times New Roman" w:hAnsi="Times New Roman" w:cs="Times New Roman"/>
          <w:sz w:val="24"/>
          <w:szCs w:val="24"/>
          <w:lang w:val="ro-RO" w:eastAsia="ru-RU"/>
        </w:rPr>
        <w:t>bărbaţilor</w:t>
      </w:r>
      <w:proofErr w:type="spellEnd"/>
      <w:r w:rsidRPr="00644D4E">
        <w:rPr>
          <w:rFonts w:ascii="Times New Roman" w:eastAsia="Times New Roman" w:hAnsi="Times New Roman" w:cs="Times New Roman"/>
          <w:sz w:val="24"/>
          <w:szCs w:val="24"/>
          <w:lang w:val="ro-RO" w:eastAsia="ru-RU"/>
        </w:rPr>
        <w:t xml:space="preserve"> – </w:t>
      </w:r>
      <w:r w:rsidRPr="00644D4E">
        <w:rPr>
          <w:rFonts w:ascii="Times New Roman" w:eastAsia="Times New Roman" w:hAnsi="Times New Roman" w:cs="Times New Roman"/>
          <w:b/>
          <w:sz w:val="24"/>
          <w:szCs w:val="24"/>
          <w:lang w:val="ro-RO" w:eastAsia="ru-RU"/>
        </w:rPr>
        <w:t>49,5%</w:t>
      </w:r>
      <w:r w:rsidRPr="00644D4E">
        <w:rPr>
          <w:rFonts w:ascii="Times New Roman" w:eastAsia="Times New Roman" w:hAnsi="Times New Roman" w:cs="Times New Roman"/>
          <w:sz w:val="24"/>
          <w:szCs w:val="24"/>
          <w:lang w:val="ro-RO" w:eastAsia="ru-RU"/>
        </w:rPr>
        <w:t xml:space="preserve">, în comparație cu femeile – </w:t>
      </w:r>
      <w:r w:rsidRPr="00644D4E">
        <w:rPr>
          <w:rFonts w:ascii="Times New Roman" w:eastAsia="Times New Roman" w:hAnsi="Times New Roman" w:cs="Times New Roman"/>
          <w:b/>
          <w:sz w:val="24"/>
          <w:szCs w:val="24"/>
          <w:lang w:val="ro-RO" w:eastAsia="ru-RU"/>
        </w:rPr>
        <w:t>41,4%.</w:t>
      </w:r>
      <w:r w:rsidRPr="00644D4E">
        <w:rPr>
          <w:rFonts w:ascii="Times New Roman" w:eastAsia="Times New Roman" w:hAnsi="Times New Roman" w:cs="Times New Roman"/>
          <w:sz w:val="24"/>
          <w:szCs w:val="24"/>
          <w:lang w:val="ro-RO" w:eastAsia="ru-RU"/>
        </w:rPr>
        <w:t xml:space="preserve"> Ratele respective pe medii au constituit – </w:t>
      </w:r>
      <w:r w:rsidRPr="00644D4E">
        <w:rPr>
          <w:rFonts w:ascii="Times New Roman" w:eastAsia="Times New Roman" w:hAnsi="Times New Roman" w:cs="Times New Roman"/>
          <w:b/>
          <w:sz w:val="24"/>
          <w:szCs w:val="24"/>
          <w:lang w:val="ro-RO" w:eastAsia="ru-RU"/>
        </w:rPr>
        <w:t>49,8%</w:t>
      </w:r>
      <w:r w:rsidRPr="00644D4E">
        <w:rPr>
          <w:rFonts w:ascii="Times New Roman" w:eastAsia="Times New Roman" w:hAnsi="Times New Roman" w:cs="Times New Roman"/>
          <w:sz w:val="24"/>
          <w:szCs w:val="24"/>
          <w:lang w:val="ro-RO" w:eastAsia="ru-RU"/>
        </w:rPr>
        <w:t xml:space="preserve"> în mediul urban și – </w:t>
      </w:r>
      <w:r w:rsidRPr="00644D4E">
        <w:rPr>
          <w:rFonts w:ascii="Times New Roman" w:eastAsia="Times New Roman" w:hAnsi="Times New Roman" w:cs="Times New Roman"/>
          <w:b/>
          <w:sz w:val="24"/>
          <w:szCs w:val="24"/>
          <w:lang w:val="ro-RO" w:eastAsia="ru-RU"/>
        </w:rPr>
        <w:t>41,7%</w:t>
      </w:r>
      <w:r w:rsidRPr="00644D4E">
        <w:rPr>
          <w:rFonts w:ascii="Times New Roman" w:eastAsia="Times New Roman" w:hAnsi="Times New Roman" w:cs="Times New Roman"/>
          <w:sz w:val="24"/>
          <w:szCs w:val="24"/>
          <w:lang w:val="ro-RO" w:eastAsia="ru-RU"/>
        </w:rPr>
        <w:t xml:space="preserve"> în mediul rural. </w:t>
      </w:r>
      <w:r w:rsidRPr="00644D4E">
        <w:rPr>
          <w:rFonts w:ascii="Times New Roman" w:hAnsi="Times New Roman" w:cs="Times New Roman"/>
          <w:sz w:val="24"/>
          <w:szCs w:val="24"/>
          <w:lang w:val="ro-RO"/>
        </w:rPr>
        <w:t xml:space="preserve">Pentru categoria de vârstă 15-29 ani, rata de participare la forța de muncă a constituit </w:t>
      </w:r>
      <w:r w:rsidRPr="00644D4E">
        <w:rPr>
          <w:rFonts w:ascii="Times New Roman" w:eastAsia="Times New Roman" w:hAnsi="Times New Roman" w:cs="Times New Roman"/>
          <w:sz w:val="24"/>
          <w:szCs w:val="24"/>
          <w:lang w:val="ro-RO" w:eastAsia="ru-RU"/>
        </w:rPr>
        <w:t xml:space="preserve">– </w:t>
      </w:r>
      <w:r w:rsidRPr="00644D4E">
        <w:rPr>
          <w:rFonts w:ascii="Times New Roman" w:hAnsi="Times New Roman" w:cs="Times New Roman"/>
          <w:b/>
          <w:sz w:val="24"/>
          <w:szCs w:val="24"/>
          <w:lang w:val="ro-RO"/>
        </w:rPr>
        <w:t>33,0%,</w:t>
      </w:r>
      <w:r w:rsidRPr="00644D4E">
        <w:rPr>
          <w:rFonts w:ascii="Times New Roman" w:hAnsi="Times New Roman" w:cs="Times New Roman"/>
          <w:sz w:val="24"/>
          <w:szCs w:val="24"/>
          <w:lang w:val="ro-RO"/>
        </w:rPr>
        <w:t xml:space="preserve"> la persoanele de 15-34 ani </w:t>
      </w:r>
      <w:r w:rsidRPr="00644D4E">
        <w:rPr>
          <w:rFonts w:ascii="Times New Roman" w:eastAsia="Times New Roman" w:hAnsi="Times New Roman" w:cs="Times New Roman"/>
          <w:sz w:val="24"/>
          <w:szCs w:val="24"/>
          <w:lang w:val="ro-RO" w:eastAsia="ru-RU"/>
        </w:rPr>
        <w:t>–</w:t>
      </w:r>
      <w:r w:rsidRPr="00644D4E">
        <w:rPr>
          <w:rFonts w:ascii="Times New Roman" w:hAnsi="Times New Roman" w:cs="Times New Roman"/>
          <w:sz w:val="24"/>
          <w:szCs w:val="24"/>
          <w:lang w:val="ro-RO"/>
        </w:rPr>
        <w:t xml:space="preserve"> </w:t>
      </w:r>
      <w:r w:rsidRPr="00644D4E">
        <w:rPr>
          <w:rFonts w:ascii="Times New Roman" w:hAnsi="Times New Roman" w:cs="Times New Roman"/>
          <w:b/>
          <w:sz w:val="24"/>
          <w:szCs w:val="24"/>
          <w:lang w:val="ro-RO"/>
        </w:rPr>
        <w:t>41,2%</w:t>
      </w:r>
      <w:r w:rsidRPr="00644D4E">
        <w:rPr>
          <w:rFonts w:ascii="Times New Roman" w:hAnsi="Times New Roman" w:cs="Times New Roman"/>
          <w:sz w:val="24"/>
          <w:szCs w:val="24"/>
          <w:lang w:val="ro-RO"/>
        </w:rPr>
        <w:t xml:space="preserve"> și la grupa de vârstă de 15-64 ani – </w:t>
      </w:r>
      <w:r w:rsidRPr="00644D4E">
        <w:rPr>
          <w:rFonts w:ascii="Times New Roman" w:hAnsi="Times New Roman" w:cs="Times New Roman"/>
          <w:b/>
          <w:sz w:val="24"/>
          <w:szCs w:val="24"/>
          <w:lang w:val="ro-RO"/>
        </w:rPr>
        <w:t>54,4%.</w:t>
      </w:r>
      <w:r w:rsidRPr="00644D4E">
        <w:rPr>
          <w:rFonts w:ascii="Times New Roman" w:hAnsi="Times New Roman" w:cs="Times New Roman"/>
          <w:sz w:val="24"/>
          <w:szCs w:val="24"/>
          <w:lang w:val="ro-RO"/>
        </w:rPr>
        <w:t xml:space="preserve"> Valoarea acestui indicator pentru populația în vârstă de muncă conform legislației naționale a fost de </w:t>
      </w:r>
      <w:r w:rsidRPr="00644D4E">
        <w:rPr>
          <w:rFonts w:ascii="Times New Roman" w:eastAsia="Times New Roman" w:hAnsi="Times New Roman" w:cs="Times New Roman"/>
          <w:sz w:val="24"/>
          <w:szCs w:val="24"/>
          <w:lang w:val="ro-RO" w:eastAsia="ru-RU"/>
        </w:rPr>
        <w:t xml:space="preserve">– </w:t>
      </w:r>
      <w:r w:rsidRPr="00644D4E">
        <w:rPr>
          <w:rFonts w:ascii="Times New Roman" w:hAnsi="Times New Roman" w:cs="Times New Roman"/>
          <w:b/>
          <w:sz w:val="24"/>
          <w:szCs w:val="24"/>
          <w:lang w:val="ro-RO"/>
        </w:rPr>
        <w:t>58,0%.</w:t>
      </w:r>
    </w:p>
    <w:p w14:paraId="79F28A9A" w14:textId="77777777" w:rsidR="006314F4" w:rsidRPr="00644D4E" w:rsidRDefault="006314F4" w:rsidP="004C6FFA">
      <w:pPr>
        <w:shd w:val="clear" w:color="auto" w:fill="FFFFFF"/>
        <w:spacing w:after="60" w:line="240" w:lineRule="auto"/>
        <w:jc w:val="center"/>
        <w:rPr>
          <w:rFonts w:ascii="Times New Roman" w:eastAsia="Times New Roman" w:hAnsi="Times New Roman" w:cs="Times New Roman"/>
          <w:b/>
          <w:i/>
          <w:lang w:val="ro-RO" w:eastAsia="ru-RU"/>
        </w:rPr>
      </w:pPr>
      <w:r w:rsidRPr="00644D4E">
        <w:rPr>
          <w:rFonts w:ascii="Times New Roman" w:eastAsia="Times New Roman" w:hAnsi="Times New Roman" w:cs="Times New Roman"/>
          <w:b/>
          <w:i/>
          <w:lang w:val="ro-RO" w:eastAsia="ru-RU"/>
        </w:rPr>
        <w:t>Fig. 2.2.1.1. Rata de participare la forța de muncă pe sexe și medii, anii 2022 și 2023,%</w:t>
      </w:r>
    </w:p>
    <w:p w14:paraId="68BC2CB4" w14:textId="77777777" w:rsidR="006314F4" w:rsidRPr="00644D4E" w:rsidRDefault="006314F4" w:rsidP="00CC2AF0">
      <w:pPr>
        <w:shd w:val="clear" w:color="auto" w:fill="FFFFFF"/>
        <w:spacing w:after="60" w:line="240" w:lineRule="auto"/>
        <w:jc w:val="center"/>
        <w:rPr>
          <w:rFonts w:ascii="Times New Roman" w:eastAsia="Times New Roman" w:hAnsi="Times New Roman" w:cs="Times New Roman"/>
          <w:b/>
          <w:lang w:val="ro-RO" w:eastAsia="ru-RU"/>
        </w:rPr>
      </w:pPr>
      <w:r w:rsidRPr="00644D4E">
        <w:rPr>
          <w:lang w:val="ro-RO"/>
        </w:rPr>
        <w:drawing>
          <wp:inline distT="0" distB="0" distL="0" distR="0" wp14:anchorId="7B7851C1" wp14:editId="51E5472F">
            <wp:extent cx="4500880" cy="2162175"/>
            <wp:effectExtent l="0" t="0" r="13970" b="952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60BF1D9" w14:textId="77777777" w:rsidR="006314F4" w:rsidRPr="00644D4E" w:rsidRDefault="006314F4" w:rsidP="00F46ED7">
      <w:pPr>
        <w:shd w:val="clear" w:color="auto" w:fill="FFFFFF"/>
        <w:spacing w:before="100" w:beforeAutospacing="1" w:after="120" w:line="240" w:lineRule="auto"/>
        <w:contextualSpacing/>
        <w:rPr>
          <w:rFonts w:ascii="Times New Roman" w:eastAsia="Times New Roman" w:hAnsi="Times New Roman" w:cs="Times New Roman"/>
          <w:sz w:val="16"/>
          <w:szCs w:val="16"/>
          <w:lang w:val="ro-RO" w:eastAsia="ru-RU"/>
        </w:rPr>
      </w:pPr>
      <w:r w:rsidRPr="00644D4E">
        <w:rPr>
          <w:rFonts w:ascii="Times New Roman" w:eastAsia="Times New Roman" w:hAnsi="Times New Roman" w:cs="Times New Roman"/>
          <w:sz w:val="16"/>
          <w:szCs w:val="16"/>
          <w:lang w:val="ro-RO" w:eastAsia="ru-RU"/>
        </w:rPr>
        <w:t xml:space="preserve">                                Sursa: BNS</w:t>
      </w:r>
    </w:p>
    <w:p w14:paraId="15D61759" w14:textId="77777777" w:rsidR="00F46ED7" w:rsidRPr="00644D4E" w:rsidRDefault="00F46ED7" w:rsidP="00F46ED7">
      <w:pPr>
        <w:shd w:val="clear" w:color="auto" w:fill="FFFFFF"/>
        <w:spacing w:after="120" w:line="240" w:lineRule="auto"/>
        <w:jc w:val="both"/>
        <w:rPr>
          <w:rFonts w:ascii="Times New Roman" w:eastAsia="Times New Roman" w:hAnsi="Times New Roman" w:cs="Times New Roman"/>
          <w:b/>
          <w:bCs/>
          <w:sz w:val="24"/>
          <w:szCs w:val="24"/>
          <w:lang w:val="ro-RO" w:eastAsia="ru-RU"/>
        </w:rPr>
      </w:pPr>
    </w:p>
    <w:p w14:paraId="6349E05B" w14:textId="45061811" w:rsidR="006314F4" w:rsidRPr="00644D4E" w:rsidRDefault="006314F4" w:rsidP="00F46ED7">
      <w:pPr>
        <w:shd w:val="clear" w:color="auto" w:fill="FFFFFF"/>
        <w:spacing w:after="120" w:line="240" w:lineRule="auto"/>
        <w:jc w:val="both"/>
        <w:rPr>
          <w:rFonts w:ascii="Times New Roman" w:eastAsia="Times New Roman" w:hAnsi="Times New Roman" w:cs="Times New Roman"/>
          <w:sz w:val="24"/>
          <w:szCs w:val="24"/>
          <w:lang w:val="ro-RO" w:eastAsia="ru-RU"/>
        </w:rPr>
      </w:pPr>
      <w:r w:rsidRPr="00644D4E">
        <w:rPr>
          <w:rFonts w:ascii="Times New Roman" w:eastAsia="Times New Roman" w:hAnsi="Times New Roman" w:cs="Times New Roman"/>
          <w:b/>
          <w:bCs/>
          <w:sz w:val="24"/>
          <w:szCs w:val="24"/>
          <w:lang w:val="ro-RO" w:eastAsia="ru-RU"/>
        </w:rPr>
        <w:t>Populația ocupată</w:t>
      </w:r>
      <w:r w:rsidRPr="00644D4E">
        <w:rPr>
          <w:rFonts w:ascii="Times New Roman" w:eastAsia="Times New Roman" w:hAnsi="Times New Roman" w:cs="Times New Roman"/>
          <w:sz w:val="24"/>
          <w:szCs w:val="24"/>
          <w:lang w:val="ro-RO" w:eastAsia="ru-RU"/>
        </w:rPr>
        <w:t xml:space="preserve"> pentru anul 2023 a constituit </w:t>
      </w:r>
      <w:r w:rsidRPr="00644D4E">
        <w:rPr>
          <w:rFonts w:ascii="Times New Roman" w:eastAsia="Times New Roman" w:hAnsi="Times New Roman" w:cs="Times New Roman"/>
          <w:b/>
          <w:sz w:val="24"/>
          <w:szCs w:val="24"/>
          <w:lang w:val="ro-RO" w:eastAsia="ru-RU"/>
        </w:rPr>
        <w:t>886,9 mii</w:t>
      </w:r>
      <w:r w:rsidRPr="00644D4E">
        <w:rPr>
          <w:rFonts w:ascii="Times New Roman" w:eastAsia="Times New Roman" w:hAnsi="Times New Roman" w:cs="Times New Roman"/>
          <w:sz w:val="24"/>
          <w:szCs w:val="24"/>
          <w:lang w:val="ro-RO" w:eastAsia="ru-RU"/>
        </w:rPr>
        <w:t xml:space="preserve"> persoane, înregistrând o </w:t>
      </w:r>
      <w:proofErr w:type="spellStart"/>
      <w:r w:rsidRPr="00644D4E">
        <w:rPr>
          <w:rFonts w:ascii="Times New Roman" w:eastAsia="Times New Roman" w:hAnsi="Times New Roman" w:cs="Times New Roman"/>
          <w:sz w:val="24"/>
          <w:szCs w:val="24"/>
          <w:lang w:val="ro-RO" w:eastAsia="ru-RU"/>
        </w:rPr>
        <w:t>creştere</w:t>
      </w:r>
      <w:proofErr w:type="spellEnd"/>
      <w:r w:rsidRPr="00644D4E">
        <w:rPr>
          <w:rFonts w:ascii="Times New Roman" w:eastAsia="Times New Roman" w:hAnsi="Times New Roman" w:cs="Times New Roman"/>
          <w:sz w:val="24"/>
          <w:szCs w:val="24"/>
          <w:lang w:val="ro-RO" w:eastAsia="ru-RU"/>
        </w:rPr>
        <w:t xml:space="preserve"> de </w:t>
      </w:r>
      <w:r w:rsidRPr="00644D4E">
        <w:rPr>
          <w:rFonts w:ascii="Times New Roman" w:eastAsia="Times New Roman" w:hAnsi="Times New Roman" w:cs="Times New Roman"/>
          <w:b/>
          <w:sz w:val="24"/>
          <w:szCs w:val="24"/>
          <w:lang w:val="ro-RO" w:eastAsia="ru-RU"/>
        </w:rPr>
        <w:t>2,9%</w:t>
      </w:r>
      <w:r w:rsidRPr="00644D4E">
        <w:rPr>
          <w:rFonts w:ascii="Times New Roman" w:eastAsia="Times New Roman" w:hAnsi="Times New Roman" w:cs="Times New Roman"/>
          <w:sz w:val="24"/>
          <w:szCs w:val="24"/>
          <w:lang w:val="ro-RO" w:eastAsia="ru-RU"/>
        </w:rPr>
        <w:t>, comparativ cu anul precedent. Ca și în cazul populației economic active, ponderea bărbaților a fost aproximativ egală cu cea a femeilor (50,2% bărbați, și respectiv, 49,8% femei), iar ponderea persoanelor ocupate din mediul rural a fost mai mare (53,5%) față de cea a persoanelor ocupate din mediul urban (45,5%).</w:t>
      </w:r>
    </w:p>
    <w:p w14:paraId="2430EAB0" w14:textId="514A7CA2" w:rsidR="006314F4" w:rsidRPr="00644D4E" w:rsidRDefault="006314F4" w:rsidP="006314F4">
      <w:pPr>
        <w:shd w:val="clear" w:color="auto" w:fill="FFFFFF"/>
        <w:spacing w:after="120" w:line="240" w:lineRule="auto"/>
        <w:jc w:val="both"/>
        <w:rPr>
          <w:rFonts w:ascii="Times New Roman" w:eastAsia="Times New Roman" w:hAnsi="Times New Roman" w:cs="Times New Roman"/>
          <w:b/>
          <w:i/>
          <w:lang w:val="ro-RO" w:eastAsia="ru-RU"/>
        </w:rPr>
      </w:pPr>
      <w:r w:rsidRPr="00644D4E">
        <w:rPr>
          <w:rFonts w:ascii="Times New Roman" w:eastAsia="Times New Roman" w:hAnsi="Times New Roman" w:cs="Times New Roman"/>
          <w:b/>
          <w:bCs/>
          <w:sz w:val="24"/>
          <w:szCs w:val="24"/>
          <w:lang w:val="ro-RO" w:eastAsia="ru-RU"/>
        </w:rPr>
        <w:t>Rata de ocupare a populației de 15 ani și peste</w:t>
      </w:r>
      <w:r w:rsidRPr="00644D4E">
        <w:rPr>
          <w:rFonts w:ascii="Times New Roman" w:eastAsia="Times New Roman" w:hAnsi="Times New Roman" w:cs="Times New Roman"/>
          <w:sz w:val="24"/>
          <w:szCs w:val="24"/>
          <w:lang w:val="ro-RO" w:eastAsia="ru-RU"/>
        </w:rPr>
        <w:t> </w:t>
      </w:r>
      <w:r w:rsidRPr="00644D4E">
        <w:rPr>
          <w:rFonts w:ascii="Times New Roman" w:eastAsia="Times New Roman" w:hAnsi="Times New Roman" w:cs="Times New Roman"/>
          <w:i/>
          <w:iCs/>
          <w:sz w:val="24"/>
          <w:szCs w:val="24"/>
          <w:lang w:val="ro-RO" w:eastAsia="ru-RU"/>
        </w:rPr>
        <w:t>(proporția persoanelor ocupate în vârstă de 15 ani și peste față de populația totală din aceeași categorie de vârstă)</w:t>
      </w:r>
      <w:r w:rsidRPr="00644D4E">
        <w:rPr>
          <w:rFonts w:ascii="Times New Roman" w:eastAsia="Times New Roman" w:hAnsi="Times New Roman" w:cs="Times New Roman"/>
          <w:sz w:val="24"/>
          <w:szCs w:val="24"/>
          <w:lang w:val="ro-RO" w:eastAsia="ru-RU"/>
        </w:rPr>
        <w:t xml:space="preserve"> a fost de </w:t>
      </w:r>
      <w:r w:rsidRPr="00644D4E">
        <w:rPr>
          <w:rFonts w:ascii="Times New Roman" w:eastAsia="Times New Roman" w:hAnsi="Times New Roman" w:cs="Times New Roman"/>
          <w:b/>
          <w:sz w:val="24"/>
          <w:szCs w:val="24"/>
          <w:lang w:val="ro-RO" w:eastAsia="ru-RU"/>
        </w:rPr>
        <w:t>43,1</w:t>
      </w:r>
      <w:r w:rsidRPr="00644D4E">
        <w:rPr>
          <w:rFonts w:ascii="Times New Roman" w:eastAsia="Times New Roman" w:hAnsi="Times New Roman" w:cs="Times New Roman"/>
          <w:sz w:val="24"/>
          <w:szCs w:val="24"/>
          <w:lang w:val="ro-RO" w:eastAsia="ru-RU"/>
        </w:rPr>
        <w:t xml:space="preserve">, fiind în creștere față de nivelul anului precedent (40,5% în 2022). Rata de ocupare a bărbaților (47,1%) a fost mai înaltă în comparație cu cea a femeilor (39,7%) </w:t>
      </w:r>
      <w:proofErr w:type="spellStart"/>
      <w:r w:rsidRPr="00644D4E">
        <w:rPr>
          <w:rFonts w:ascii="Times New Roman" w:eastAsia="Times New Roman" w:hAnsi="Times New Roman" w:cs="Times New Roman"/>
          <w:sz w:val="24"/>
          <w:szCs w:val="24"/>
          <w:lang w:val="ro-RO" w:eastAsia="ru-RU"/>
        </w:rPr>
        <w:t>şi</w:t>
      </w:r>
      <w:proofErr w:type="spellEnd"/>
      <w:r w:rsidRPr="00644D4E">
        <w:rPr>
          <w:rFonts w:ascii="Times New Roman" w:eastAsia="Times New Roman" w:hAnsi="Times New Roman" w:cs="Times New Roman"/>
          <w:sz w:val="24"/>
          <w:szCs w:val="24"/>
          <w:lang w:val="ro-RO" w:eastAsia="ru-RU"/>
        </w:rPr>
        <w:t xml:space="preserve"> în mediul urban (47,4%) mai mare </w:t>
      </w:r>
      <w:proofErr w:type="spellStart"/>
      <w:r w:rsidRPr="00644D4E">
        <w:rPr>
          <w:rFonts w:ascii="Times New Roman" w:eastAsia="Times New Roman" w:hAnsi="Times New Roman" w:cs="Times New Roman"/>
          <w:sz w:val="24"/>
          <w:szCs w:val="24"/>
          <w:lang w:val="ro-RO" w:eastAsia="ru-RU"/>
        </w:rPr>
        <w:t>faţă</w:t>
      </w:r>
      <w:proofErr w:type="spellEnd"/>
      <w:r w:rsidRPr="00644D4E">
        <w:rPr>
          <w:rFonts w:ascii="Times New Roman" w:eastAsia="Times New Roman" w:hAnsi="Times New Roman" w:cs="Times New Roman"/>
          <w:sz w:val="24"/>
          <w:szCs w:val="24"/>
          <w:lang w:val="ro-RO" w:eastAsia="ru-RU"/>
        </w:rPr>
        <w:t xml:space="preserve"> de mediul rural (39,9%). Rata de ocupare a populației în vârstă aptă de muncă 15-64 ani a fost de 51,8%, iar în categoria de vârstă 15-29 ani acest indicator a înregistrat valoarea de 30,6% (Figura 2.2.1.2).</w:t>
      </w:r>
    </w:p>
    <w:p w14:paraId="03A81D6F" w14:textId="77777777" w:rsidR="006314F4" w:rsidRPr="00644D4E" w:rsidRDefault="006314F4" w:rsidP="004C6FFA">
      <w:pPr>
        <w:shd w:val="clear" w:color="auto" w:fill="FFFFFF"/>
        <w:spacing w:after="60" w:line="240" w:lineRule="auto"/>
        <w:jc w:val="center"/>
        <w:rPr>
          <w:rFonts w:ascii="Times New Roman" w:eastAsia="Times New Roman" w:hAnsi="Times New Roman" w:cs="Times New Roman"/>
          <w:b/>
          <w:i/>
          <w:lang w:val="ro-RO" w:eastAsia="ru-RU"/>
        </w:rPr>
      </w:pPr>
      <w:r w:rsidRPr="00644D4E">
        <w:rPr>
          <w:rFonts w:ascii="Times New Roman" w:eastAsia="Times New Roman" w:hAnsi="Times New Roman" w:cs="Times New Roman"/>
          <w:b/>
          <w:i/>
          <w:lang w:val="ro-RO" w:eastAsia="ru-RU"/>
        </w:rPr>
        <w:t>Fig. 2.2.1.2. Rata de ocupare pe sexe și medii, anii 2022 și 2023,%</w:t>
      </w:r>
    </w:p>
    <w:p w14:paraId="637DE757" w14:textId="77777777" w:rsidR="006314F4" w:rsidRPr="00644D4E" w:rsidRDefault="006314F4" w:rsidP="00CC2AF0">
      <w:pPr>
        <w:shd w:val="clear" w:color="auto" w:fill="FFFFFF"/>
        <w:spacing w:after="60" w:line="240" w:lineRule="auto"/>
        <w:jc w:val="center"/>
        <w:rPr>
          <w:rFonts w:ascii="Times New Roman" w:eastAsia="Times New Roman" w:hAnsi="Times New Roman" w:cs="Times New Roman"/>
          <w:b/>
          <w:i/>
          <w:lang w:val="ro-RO" w:eastAsia="ru-RU"/>
        </w:rPr>
      </w:pPr>
      <w:r w:rsidRPr="00644D4E">
        <w:rPr>
          <w:lang w:val="ro-RO"/>
        </w:rPr>
        <w:drawing>
          <wp:inline distT="0" distB="0" distL="0" distR="0" wp14:anchorId="63E8A978" wp14:editId="6FBA40CD">
            <wp:extent cx="4310380" cy="2162175"/>
            <wp:effectExtent l="0" t="0" r="13970" b="9525"/>
            <wp:docPr id="4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020E166" w14:textId="77777777" w:rsidR="006314F4" w:rsidRPr="00644D4E" w:rsidRDefault="006314F4" w:rsidP="006314F4">
      <w:pPr>
        <w:shd w:val="clear" w:color="auto" w:fill="FFFFFF"/>
        <w:spacing w:after="120" w:line="240" w:lineRule="auto"/>
        <w:contextualSpacing/>
        <w:rPr>
          <w:rFonts w:ascii="Times New Roman" w:eastAsia="Times New Roman" w:hAnsi="Times New Roman" w:cs="Times New Roman"/>
          <w:sz w:val="16"/>
          <w:szCs w:val="16"/>
          <w:lang w:val="ro-RO" w:eastAsia="ru-RU"/>
        </w:rPr>
      </w:pPr>
      <w:r w:rsidRPr="00644D4E">
        <w:rPr>
          <w:rFonts w:ascii="Times New Roman" w:eastAsia="Times New Roman" w:hAnsi="Times New Roman" w:cs="Times New Roman"/>
          <w:sz w:val="16"/>
          <w:szCs w:val="16"/>
          <w:lang w:val="ro-RO" w:eastAsia="ru-RU"/>
        </w:rPr>
        <w:t xml:space="preserve">                               </w:t>
      </w:r>
      <w:r w:rsidR="0054353E" w:rsidRPr="00644D4E">
        <w:rPr>
          <w:rFonts w:ascii="Times New Roman" w:eastAsia="Times New Roman" w:hAnsi="Times New Roman" w:cs="Times New Roman"/>
          <w:sz w:val="16"/>
          <w:szCs w:val="16"/>
          <w:lang w:val="ro-RO" w:eastAsia="ru-RU"/>
        </w:rPr>
        <w:t xml:space="preserve">   </w:t>
      </w:r>
      <w:r w:rsidRPr="00644D4E">
        <w:rPr>
          <w:rFonts w:ascii="Times New Roman" w:eastAsia="Times New Roman" w:hAnsi="Times New Roman" w:cs="Times New Roman"/>
          <w:sz w:val="16"/>
          <w:szCs w:val="16"/>
          <w:lang w:val="ro-RO" w:eastAsia="ru-RU"/>
        </w:rPr>
        <w:t xml:space="preserve"> Sursa: BNS</w:t>
      </w:r>
    </w:p>
    <w:p w14:paraId="3873FC5E" w14:textId="77777777" w:rsidR="006314F4" w:rsidRPr="00644D4E" w:rsidRDefault="006314F4" w:rsidP="006314F4">
      <w:pPr>
        <w:shd w:val="clear" w:color="auto" w:fill="FFFFFF"/>
        <w:spacing w:after="120" w:line="240" w:lineRule="auto"/>
        <w:jc w:val="both"/>
        <w:rPr>
          <w:rFonts w:ascii="Times New Roman" w:eastAsia="Times New Roman" w:hAnsi="Times New Roman" w:cs="Times New Roman"/>
          <w:sz w:val="24"/>
          <w:szCs w:val="24"/>
          <w:shd w:val="clear" w:color="auto" w:fill="FFFFFF"/>
          <w:lang w:val="ro-RO" w:eastAsia="ru-RU"/>
        </w:rPr>
      </w:pPr>
    </w:p>
    <w:p w14:paraId="54A574CB" w14:textId="77777777" w:rsidR="006314F4" w:rsidRPr="00644D4E" w:rsidRDefault="006314F4" w:rsidP="006314F4">
      <w:pPr>
        <w:shd w:val="clear" w:color="auto" w:fill="FFFFFF"/>
        <w:spacing w:after="120" w:line="240" w:lineRule="auto"/>
        <w:jc w:val="both"/>
        <w:rPr>
          <w:rFonts w:ascii="Times New Roman" w:eastAsia="Times New Roman" w:hAnsi="Times New Roman" w:cs="Times New Roman"/>
          <w:sz w:val="24"/>
          <w:szCs w:val="24"/>
          <w:lang w:val="ro-RO" w:eastAsia="ru-RU"/>
        </w:rPr>
      </w:pPr>
      <w:r w:rsidRPr="00644D4E">
        <w:rPr>
          <w:rFonts w:ascii="Times New Roman" w:eastAsia="Times New Roman" w:hAnsi="Times New Roman" w:cs="Times New Roman"/>
          <w:sz w:val="24"/>
          <w:szCs w:val="24"/>
          <w:shd w:val="clear" w:color="auto" w:fill="FFFFFF"/>
          <w:lang w:val="ro-RO" w:eastAsia="ru-RU"/>
        </w:rPr>
        <w:t xml:space="preserve">Analiza ratelor de ocupare pe grupe de vârstă evidențiază cele mai mari discrepanțe la persoanele cu vârsta de 25-34 ani atât pe sexe (cu 12,3 </w:t>
      </w:r>
      <w:proofErr w:type="spellStart"/>
      <w:r w:rsidRPr="00644D4E">
        <w:rPr>
          <w:rFonts w:ascii="Times New Roman" w:eastAsia="Times New Roman" w:hAnsi="Times New Roman" w:cs="Times New Roman"/>
          <w:sz w:val="24"/>
          <w:szCs w:val="24"/>
          <w:shd w:val="clear" w:color="auto" w:fill="FFFFFF"/>
          <w:lang w:val="ro-RO" w:eastAsia="ru-RU"/>
        </w:rPr>
        <w:t>p.p.</w:t>
      </w:r>
      <w:proofErr w:type="spellEnd"/>
      <w:r w:rsidRPr="00644D4E">
        <w:rPr>
          <w:rFonts w:ascii="Times New Roman" w:eastAsia="Times New Roman" w:hAnsi="Times New Roman" w:cs="Times New Roman"/>
          <w:sz w:val="24"/>
          <w:szCs w:val="24"/>
          <w:shd w:val="clear" w:color="auto" w:fill="FFFFFF"/>
          <w:lang w:val="ro-RO" w:eastAsia="ru-RU"/>
        </w:rPr>
        <w:t xml:space="preserve"> discrepanță mai mare pentru bărbați), cât și pe medii de </w:t>
      </w:r>
      <w:r w:rsidRPr="00644D4E">
        <w:rPr>
          <w:rFonts w:ascii="Times New Roman" w:eastAsia="Times New Roman" w:hAnsi="Times New Roman" w:cs="Times New Roman"/>
          <w:sz w:val="24"/>
          <w:szCs w:val="24"/>
          <w:shd w:val="clear" w:color="auto" w:fill="FFFFFF"/>
          <w:lang w:val="ro-RO" w:eastAsia="ru-RU"/>
        </w:rPr>
        <w:lastRenderedPageBreak/>
        <w:t xml:space="preserve">reședință (cu 19,0 </w:t>
      </w:r>
      <w:proofErr w:type="spellStart"/>
      <w:r w:rsidRPr="00644D4E">
        <w:rPr>
          <w:rFonts w:ascii="Times New Roman" w:eastAsia="Times New Roman" w:hAnsi="Times New Roman" w:cs="Times New Roman"/>
          <w:sz w:val="24"/>
          <w:szCs w:val="24"/>
          <w:shd w:val="clear" w:color="auto" w:fill="FFFFFF"/>
          <w:lang w:val="ro-RO" w:eastAsia="ru-RU"/>
        </w:rPr>
        <w:t>p.p.</w:t>
      </w:r>
      <w:proofErr w:type="spellEnd"/>
      <w:r w:rsidRPr="00644D4E">
        <w:rPr>
          <w:rFonts w:ascii="Times New Roman" w:eastAsia="Times New Roman" w:hAnsi="Times New Roman" w:cs="Times New Roman"/>
          <w:sz w:val="24"/>
          <w:szCs w:val="24"/>
          <w:shd w:val="clear" w:color="auto" w:fill="FFFFFF"/>
          <w:lang w:val="ro-RO" w:eastAsia="ru-RU"/>
        </w:rPr>
        <w:t xml:space="preserve"> mai mare pentru mediul urban). Totodată, diferențe mari în aspect de gen sunt înregistrate și la grupa de vârstă 55-64 ani (cu 13,8 </w:t>
      </w:r>
      <w:proofErr w:type="spellStart"/>
      <w:r w:rsidRPr="00644D4E">
        <w:rPr>
          <w:rFonts w:ascii="Times New Roman" w:eastAsia="Times New Roman" w:hAnsi="Times New Roman" w:cs="Times New Roman"/>
          <w:sz w:val="24"/>
          <w:szCs w:val="24"/>
          <w:shd w:val="clear" w:color="auto" w:fill="FFFFFF"/>
          <w:lang w:val="ro-RO" w:eastAsia="ru-RU"/>
        </w:rPr>
        <w:t>p.p.</w:t>
      </w:r>
      <w:proofErr w:type="spellEnd"/>
      <w:r w:rsidRPr="00644D4E">
        <w:rPr>
          <w:rFonts w:ascii="Times New Roman" w:eastAsia="Times New Roman" w:hAnsi="Times New Roman" w:cs="Times New Roman"/>
          <w:sz w:val="24"/>
          <w:szCs w:val="24"/>
          <w:shd w:val="clear" w:color="auto" w:fill="FFFFFF"/>
          <w:lang w:val="ro-RO" w:eastAsia="ru-RU"/>
        </w:rPr>
        <w:t xml:space="preserve"> mai mare pentru bărbați), iar după medii  de reședință la grupa de vârstă 35-44 ani (cu 13,2 </w:t>
      </w:r>
      <w:proofErr w:type="spellStart"/>
      <w:r w:rsidRPr="00644D4E">
        <w:rPr>
          <w:rFonts w:ascii="Times New Roman" w:eastAsia="Times New Roman" w:hAnsi="Times New Roman" w:cs="Times New Roman"/>
          <w:sz w:val="24"/>
          <w:szCs w:val="24"/>
          <w:shd w:val="clear" w:color="auto" w:fill="FFFFFF"/>
          <w:lang w:val="ro-RO" w:eastAsia="ru-RU"/>
        </w:rPr>
        <w:t>p.p.</w:t>
      </w:r>
      <w:proofErr w:type="spellEnd"/>
      <w:r w:rsidRPr="00644D4E">
        <w:rPr>
          <w:rFonts w:ascii="Times New Roman" w:eastAsia="Times New Roman" w:hAnsi="Times New Roman" w:cs="Times New Roman"/>
          <w:sz w:val="24"/>
          <w:szCs w:val="24"/>
          <w:shd w:val="clear" w:color="auto" w:fill="FFFFFF"/>
          <w:lang w:val="ro-RO" w:eastAsia="ru-RU"/>
        </w:rPr>
        <w:t xml:space="preserve"> mai mari pentru urban). O rată de ocupare mai mare la femei față de bărbați se înregistrează doar la persoanele cu vârsta cuprinsă între 45-54 ani (cu 4,6 </w:t>
      </w:r>
      <w:proofErr w:type="spellStart"/>
      <w:r w:rsidRPr="00644D4E">
        <w:rPr>
          <w:rFonts w:ascii="Times New Roman" w:eastAsia="Times New Roman" w:hAnsi="Times New Roman" w:cs="Times New Roman"/>
          <w:sz w:val="24"/>
          <w:szCs w:val="24"/>
          <w:shd w:val="clear" w:color="auto" w:fill="FFFFFF"/>
          <w:lang w:val="ro-RO" w:eastAsia="ru-RU"/>
        </w:rPr>
        <w:t>p.p.</w:t>
      </w:r>
      <w:proofErr w:type="spellEnd"/>
      <w:r w:rsidRPr="00644D4E">
        <w:rPr>
          <w:rFonts w:ascii="Times New Roman" w:eastAsia="Times New Roman" w:hAnsi="Times New Roman" w:cs="Times New Roman"/>
          <w:sz w:val="24"/>
          <w:szCs w:val="24"/>
          <w:shd w:val="clear" w:color="auto" w:fill="FFFFFF"/>
          <w:lang w:val="ro-RO" w:eastAsia="ru-RU"/>
        </w:rPr>
        <w:t>) (Figura 2.2.1.3).</w:t>
      </w:r>
    </w:p>
    <w:p w14:paraId="6A7E76FF" w14:textId="77777777" w:rsidR="006314F4" w:rsidRPr="00644D4E" w:rsidRDefault="006314F4" w:rsidP="004C6FFA">
      <w:pPr>
        <w:shd w:val="clear" w:color="auto" w:fill="FFFFFF"/>
        <w:spacing w:after="60" w:line="240" w:lineRule="auto"/>
        <w:jc w:val="center"/>
        <w:rPr>
          <w:rFonts w:ascii="Times New Roman" w:eastAsia="Times New Roman" w:hAnsi="Times New Roman" w:cs="Times New Roman"/>
          <w:b/>
          <w:i/>
          <w:lang w:val="ro-RO" w:eastAsia="ru-RU"/>
        </w:rPr>
      </w:pPr>
      <w:r w:rsidRPr="00644D4E">
        <w:rPr>
          <w:rFonts w:ascii="Times New Roman" w:eastAsia="Times New Roman" w:hAnsi="Times New Roman" w:cs="Times New Roman"/>
          <w:b/>
          <w:i/>
          <w:lang w:val="ro-RO" w:eastAsia="ru-RU"/>
        </w:rPr>
        <w:t>Fig. 2.2.1.3. Rata de ocupare pe sexe și medii, 2023,%</w:t>
      </w:r>
    </w:p>
    <w:p w14:paraId="10A7FA05" w14:textId="77777777" w:rsidR="006314F4" w:rsidRPr="00644D4E" w:rsidRDefault="006314F4" w:rsidP="00CC2AF0">
      <w:pPr>
        <w:shd w:val="clear" w:color="auto" w:fill="FFFFFF"/>
        <w:spacing w:after="60" w:line="240" w:lineRule="auto"/>
        <w:contextualSpacing/>
        <w:rPr>
          <w:rFonts w:ascii="Times New Roman" w:eastAsia="Times New Roman" w:hAnsi="Times New Roman" w:cs="Times New Roman"/>
          <w:sz w:val="16"/>
          <w:szCs w:val="16"/>
          <w:lang w:val="ro-RO" w:eastAsia="ru-RU"/>
        </w:rPr>
      </w:pPr>
      <w:r w:rsidRPr="00644D4E">
        <w:rPr>
          <w:lang w:val="ro-RO"/>
        </w:rPr>
        <w:drawing>
          <wp:inline distT="0" distB="0" distL="0" distR="0" wp14:anchorId="5754DB01" wp14:editId="6D6289CE">
            <wp:extent cx="2981325" cy="2105025"/>
            <wp:effectExtent l="0" t="0" r="9525" b="9525"/>
            <wp:docPr id="449"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644D4E">
        <w:rPr>
          <w:lang w:val="ro-RO"/>
        </w:rPr>
        <w:drawing>
          <wp:inline distT="0" distB="0" distL="0" distR="0" wp14:anchorId="784D98DF" wp14:editId="53EE98B9">
            <wp:extent cx="3086100" cy="2085975"/>
            <wp:effectExtent l="0" t="0" r="0" b="9525"/>
            <wp:docPr id="450"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72F3C14" w14:textId="77777777" w:rsidR="006314F4" w:rsidRPr="00644D4E" w:rsidRDefault="006314F4" w:rsidP="006314F4">
      <w:pPr>
        <w:shd w:val="clear" w:color="auto" w:fill="FFFFFF"/>
        <w:spacing w:after="120" w:line="240" w:lineRule="auto"/>
        <w:contextualSpacing/>
        <w:rPr>
          <w:rFonts w:ascii="Times New Roman" w:eastAsia="Times New Roman" w:hAnsi="Times New Roman" w:cs="Times New Roman"/>
          <w:sz w:val="16"/>
          <w:szCs w:val="16"/>
          <w:lang w:val="ro-RO" w:eastAsia="ru-RU"/>
        </w:rPr>
      </w:pPr>
      <w:r w:rsidRPr="00644D4E">
        <w:rPr>
          <w:rFonts w:ascii="Times New Roman" w:eastAsia="Times New Roman" w:hAnsi="Times New Roman" w:cs="Times New Roman"/>
          <w:sz w:val="16"/>
          <w:szCs w:val="16"/>
          <w:lang w:val="ro-RO" w:eastAsia="ru-RU"/>
        </w:rPr>
        <w:t>Sursa: BNS</w:t>
      </w:r>
    </w:p>
    <w:p w14:paraId="0A208FD4" w14:textId="77777777" w:rsidR="006314F4" w:rsidRPr="00644D4E" w:rsidRDefault="006314F4" w:rsidP="006314F4">
      <w:pPr>
        <w:shd w:val="clear" w:color="auto" w:fill="FFFFFF"/>
        <w:spacing w:after="120" w:line="240" w:lineRule="auto"/>
        <w:contextualSpacing/>
        <w:rPr>
          <w:rFonts w:ascii="Times New Roman" w:eastAsia="Times New Roman" w:hAnsi="Times New Roman" w:cs="Times New Roman"/>
          <w:sz w:val="16"/>
          <w:szCs w:val="16"/>
          <w:lang w:val="ro-RO" w:eastAsia="ru-RU"/>
        </w:rPr>
      </w:pPr>
    </w:p>
    <w:p w14:paraId="1E3A7336" w14:textId="319C41BF" w:rsidR="006314F4" w:rsidRPr="00644D4E" w:rsidRDefault="006314F4" w:rsidP="006314F4">
      <w:pPr>
        <w:shd w:val="clear" w:color="auto" w:fill="FFFFFF"/>
        <w:spacing w:after="120" w:line="240" w:lineRule="auto"/>
        <w:jc w:val="both"/>
        <w:rPr>
          <w:rFonts w:ascii="Times New Roman" w:eastAsiaTheme="minorEastAsia" w:hAnsi="Times New Roman" w:cs="Times New Roman"/>
          <w:sz w:val="24"/>
          <w:szCs w:val="24"/>
          <w:shd w:val="clear" w:color="auto" w:fill="FFFFFF"/>
          <w:lang w:val="ro-RO" w:eastAsia="ru-RU"/>
        </w:rPr>
      </w:pPr>
      <w:r w:rsidRPr="00644D4E">
        <w:rPr>
          <w:rFonts w:ascii="Times New Roman" w:eastAsia="Times New Roman" w:hAnsi="Times New Roman" w:cs="Times New Roman"/>
          <w:sz w:val="24"/>
          <w:szCs w:val="24"/>
          <w:lang w:val="ro-RO" w:eastAsia="ru-RU"/>
        </w:rPr>
        <w:t xml:space="preserve">Din distribuția pe </w:t>
      </w:r>
      <w:r w:rsidRPr="00644D4E">
        <w:rPr>
          <w:rFonts w:ascii="Times New Roman" w:eastAsia="Times New Roman" w:hAnsi="Times New Roman" w:cs="Times New Roman"/>
          <w:b/>
          <w:sz w:val="24"/>
          <w:szCs w:val="24"/>
          <w:lang w:val="ro-RO" w:eastAsia="ru-RU"/>
        </w:rPr>
        <w:t>activități</w:t>
      </w:r>
      <w:r w:rsidRPr="00644D4E">
        <w:rPr>
          <w:rFonts w:ascii="Times New Roman" w:eastAsia="Times New Roman" w:hAnsi="Times New Roman" w:cs="Times New Roman"/>
          <w:sz w:val="24"/>
          <w:szCs w:val="24"/>
          <w:lang w:val="ro-RO" w:eastAsia="ru-RU"/>
        </w:rPr>
        <w:t xml:space="preserve"> </w:t>
      </w:r>
      <w:r w:rsidRPr="00644D4E">
        <w:rPr>
          <w:rFonts w:ascii="Times New Roman" w:eastAsia="Times New Roman" w:hAnsi="Times New Roman" w:cs="Times New Roman"/>
          <w:b/>
          <w:bCs/>
          <w:sz w:val="24"/>
          <w:szCs w:val="24"/>
          <w:shd w:val="clear" w:color="auto" w:fill="FFFFFF"/>
          <w:lang w:val="ro-RO" w:eastAsia="ru-RU"/>
        </w:rPr>
        <w:t>economice</w:t>
      </w:r>
      <w:r w:rsidRPr="00644D4E">
        <w:rPr>
          <w:rFonts w:ascii="Times New Roman" w:eastAsia="Times New Roman" w:hAnsi="Times New Roman" w:cs="Times New Roman"/>
          <w:sz w:val="24"/>
          <w:szCs w:val="24"/>
          <w:lang w:val="ro-RO" w:eastAsia="ru-RU"/>
        </w:rPr>
        <w:t xml:space="preserve"> se observă, că în sectorul agricol au activat </w:t>
      </w:r>
      <w:r w:rsidRPr="00644D4E">
        <w:rPr>
          <w:rFonts w:ascii="Times New Roman" w:eastAsia="Times New Roman" w:hAnsi="Times New Roman" w:cs="Times New Roman"/>
          <w:b/>
          <w:sz w:val="24"/>
          <w:szCs w:val="24"/>
          <w:shd w:val="clear" w:color="auto" w:fill="FFFFFF"/>
          <w:lang w:val="ro-RO" w:eastAsia="ru-RU"/>
        </w:rPr>
        <w:t>20,9%</w:t>
      </w:r>
      <w:r w:rsidR="0054353E" w:rsidRPr="00644D4E">
        <w:rPr>
          <w:rFonts w:ascii="Times New Roman" w:eastAsia="Times New Roman" w:hAnsi="Times New Roman" w:cs="Times New Roman"/>
          <w:sz w:val="24"/>
          <w:szCs w:val="24"/>
          <w:shd w:val="clear" w:color="auto" w:fill="FFFFFF"/>
          <w:lang w:val="ro-RO" w:eastAsia="ru-RU"/>
        </w:rPr>
        <w:t>,</w:t>
      </w:r>
      <w:r w:rsidRPr="00644D4E">
        <w:rPr>
          <w:rFonts w:ascii="Times New Roman" w:eastAsia="Times New Roman" w:hAnsi="Times New Roman" w:cs="Times New Roman"/>
          <w:sz w:val="24"/>
          <w:szCs w:val="24"/>
          <w:shd w:val="clear" w:color="auto" w:fill="FFFFFF"/>
          <w:lang w:val="ro-RO" w:eastAsia="ru-RU"/>
        </w:rPr>
        <w:t xml:space="preserve"> fiind la nivelu</w:t>
      </w:r>
      <w:r w:rsidR="0054353E" w:rsidRPr="00644D4E">
        <w:rPr>
          <w:rFonts w:ascii="Times New Roman" w:eastAsia="Times New Roman" w:hAnsi="Times New Roman" w:cs="Times New Roman"/>
          <w:sz w:val="24"/>
          <w:szCs w:val="24"/>
          <w:shd w:val="clear" w:color="auto" w:fill="FFFFFF"/>
          <w:lang w:val="ro-RO" w:eastAsia="ru-RU"/>
        </w:rPr>
        <w:t>l</w:t>
      </w:r>
      <w:r w:rsidRPr="00644D4E">
        <w:rPr>
          <w:rFonts w:ascii="Times New Roman" w:eastAsia="Times New Roman" w:hAnsi="Times New Roman" w:cs="Times New Roman"/>
          <w:sz w:val="24"/>
          <w:szCs w:val="24"/>
          <w:shd w:val="clear" w:color="auto" w:fill="FFFFFF"/>
          <w:lang w:val="ro-RO" w:eastAsia="ru-RU"/>
        </w:rPr>
        <w:t xml:space="preserve"> anului precedent, 2022 (20,8%), î</w:t>
      </w:r>
      <w:r w:rsidRPr="00644D4E">
        <w:rPr>
          <w:rFonts w:ascii="Times New Roman" w:eastAsiaTheme="minorEastAsia" w:hAnsi="Times New Roman" w:cs="Times New Roman"/>
          <w:sz w:val="24"/>
          <w:szCs w:val="24"/>
          <w:shd w:val="clear" w:color="auto" w:fill="FFFFFF"/>
          <w:lang w:val="ro-RO" w:eastAsia="ru-RU"/>
        </w:rPr>
        <w:t>n </w:t>
      </w:r>
      <w:r w:rsidRPr="00644D4E">
        <w:rPr>
          <w:rFonts w:ascii="Times New Roman" w:eastAsiaTheme="minorEastAsia" w:hAnsi="Times New Roman" w:cs="Times New Roman"/>
          <w:bCs/>
          <w:sz w:val="24"/>
          <w:szCs w:val="24"/>
          <w:shd w:val="clear" w:color="auto" w:fill="FFFFFF"/>
          <w:lang w:val="ro-RO" w:eastAsia="ru-RU"/>
        </w:rPr>
        <w:t>activitățile non-agricole</w:t>
      </w:r>
      <w:r w:rsidRPr="00644D4E">
        <w:rPr>
          <w:rFonts w:ascii="Times New Roman" w:eastAsiaTheme="minorEastAsia" w:hAnsi="Times New Roman" w:cs="Times New Roman"/>
          <w:sz w:val="24"/>
          <w:szCs w:val="24"/>
          <w:shd w:val="clear" w:color="auto" w:fill="FFFFFF"/>
          <w:lang w:val="ro-RO" w:eastAsia="ru-RU"/>
        </w:rPr>
        <w:t xml:space="preserve"> au activat </w:t>
      </w:r>
      <w:r w:rsidRPr="00644D4E">
        <w:rPr>
          <w:rFonts w:ascii="Times New Roman" w:eastAsiaTheme="minorEastAsia" w:hAnsi="Times New Roman" w:cs="Times New Roman"/>
          <w:b/>
          <w:sz w:val="24"/>
          <w:szCs w:val="24"/>
          <w:shd w:val="clear" w:color="auto" w:fill="FFFFFF"/>
          <w:lang w:val="ro-RO" w:eastAsia="ru-RU"/>
        </w:rPr>
        <w:t>79,1%</w:t>
      </w:r>
      <w:r w:rsidRPr="00644D4E">
        <w:rPr>
          <w:rFonts w:ascii="Times New Roman" w:eastAsiaTheme="minorEastAsia" w:hAnsi="Times New Roman" w:cs="Times New Roman"/>
          <w:sz w:val="24"/>
          <w:szCs w:val="24"/>
          <w:shd w:val="clear" w:color="auto" w:fill="FFFFFF"/>
          <w:lang w:val="ro-RO" w:eastAsia="ru-RU"/>
        </w:rPr>
        <w:t>, fiind la nivelul anului 2022 (79,2</w:t>
      </w:r>
      <w:r w:rsidR="0054353E" w:rsidRPr="00644D4E">
        <w:rPr>
          <w:rFonts w:ascii="Times New Roman" w:eastAsiaTheme="minorEastAsia" w:hAnsi="Times New Roman" w:cs="Times New Roman"/>
          <w:sz w:val="24"/>
          <w:szCs w:val="24"/>
          <w:shd w:val="clear" w:color="auto" w:fill="FFFFFF"/>
          <w:lang w:val="ro-RO" w:eastAsia="ru-RU"/>
        </w:rPr>
        <w:t>%</w:t>
      </w:r>
      <w:r w:rsidRPr="00644D4E">
        <w:rPr>
          <w:rFonts w:ascii="Times New Roman" w:eastAsiaTheme="minorEastAsia" w:hAnsi="Times New Roman" w:cs="Times New Roman"/>
          <w:sz w:val="24"/>
          <w:szCs w:val="24"/>
          <w:shd w:val="clear" w:color="auto" w:fill="FFFFFF"/>
          <w:lang w:val="ro-RO" w:eastAsia="ru-RU"/>
        </w:rPr>
        <w:t>). Ponderea persoanelor ocupate în</w:t>
      </w:r>
      <w:r w:rsidRPr="00644D4E">
        <w:rPr>
          <w:rFonts w:ascii="Times New Roman" w:eastAsiaTheme="minorEastAsia" w:hAnsi="Times New Roman" w:cs="Times New Roman"/>
          <w:b/>
          <w:bCs/>
          <w:sz w:val="24"/>
          <w:szCs w:val="24"/>
          <w:shd w:val="clear" w:color="auto" w:fill="FFFFFF"/>
          <w:lang w:val="ro-RO" w:eastAsia="ru-RU"/>
        </w:rPr>
        <w:t> </w:t>
      </w:r>
      <w:r w:rsidRPr="00644D4E">
        <w:rPr>
          <w:rFonts w:ascii="Times New Roman" w:eastAsiaTheme="minorEastAsia" w:hAnsi="Times New Roman" w:cs="Times New Roman"/>
          <w:bCs/>
          <w:i/>
          <w:sz w:val="24"/>
          <w:szCs w:val="24"/>
          <w:shd w:val="clear" w:color="auto" w:fill="FFFFFF"/>
          <w:lang w:val="ro-RO" w:eastAsia="ru-RU"/>
        </w:rPr>
        <w:t>Industrie</w:t>
      </w:r>
      <w:r w:rsidRPr="00644D4E">
        <w:rPr>
          <w:rFonts w:ascii="Times New Roman" w:eastAsiaTheme="minorEastAsia" w:hAnsi="Times New Roman" w:cs="Times New Roman"/>
          <w:sz w:val="24"/>
          <w:szCs w:val="24"/>
          <w:shd w:val="clear" w:color="auto" w:fill="FFFFFF"/>
          <w:lang w:val="ro-RO" w:eastAsia="ru-RU"/>
        </w:rPr>
        <w:t xml:space="preserve"> a constituit – </w:t>
      </w:r>
      <w:r w:rsidRPr="00644D4E">
        <w:rPr>
          <w:rFonts w:ascii="Times New Roman" w:eastAsiaTheme="minorEastAsia" w:hAnsi="Times New Roman" w:cs="Times New Roman"/>
          <w:b/>
          <w:sz w:val="24"/>
          <w:szCs w:val="24"/>
          <w:shd w:val="clear" w:color="auto" w:fill="FFFFFF"/>
          <w:lang w:val="ro-RO" w:eastAsia="ru-RU"/>
        </w:rPr>
        <w:t>14,</w:t>
      </w:r>
      <w:r w:rsidR="0054353E" w:rsidRPr="00644D4E">
        <w:rPr>
          <w:rFonts w:ascii="Times New Roman" w:eastAsiaTheme="minorEastAsia" w:hAnsi="Times New Roman" w:cs="Times New Roman"/>
          <w:b/>
          <w:sz w:val="24"/>
          <w:szCs w:val="24"/>
          <w:shd w:val="clear" w:color="auto" w:fill="FFFFFF"/>
          <w:lang w:val="ro-RO" w:eastAsia="ru-RU"/>
        </w:rPr>
        <w:t>0</w:t>
      </w:r>
      <w:r w:rsidRPr="00644D4E">
        <w:rPr>
          <w:rFonts w:ascii="Times New Roman" w:eastAsiaTheme="minorEastAsia" w:hAnsi="Times New Roman" w:cs="Times New Roman"/>
          <w:b/>
          <w:sz w:val="24"/>
          <w:szCs w:val="24"/>
          <w:shd w:val="clear" w:color="auto" w:fill="FFFFFF"/>
          <w:lang w:val="ro-RO" w:eastAsia="ru-RU"/>
        </w:rPr>
        <w:t>%</w:t>
      </w:r>
      <w:r w:rsidRPr="00644D4E">
        <w:rPr>
          <w:rFonts w:ascii="Times New Roman" w:eastAsiaTheme="minorEastAsia" w:hAnsi="Times New Roman" w:cs="Times New Roman"/>
          <w:sz w:val="24"/>
          <w:szCs w:val="24"/>
          <w:shd w:val="clear" w:color="auto" w:fill="FFFFFF"/>
          <w:lang w:val="ro-RO" w:eastAsia="ru-RU"/>
        </w:rPr>
        <w:t xml:space="preserve"> (în anul 2021–14,8%), inclusiv în </w:t>
      </w:r>
      <w:r w:rsidRPr="00644D4E">
        <w:rPr>
          <w:rFonts w:ascii="Times New Roman" w:eastAsiaTheme="minorEastAsia" w:hAnsi="Times New Roman" w:cs="Times New Roman"/>
          <w:i/>
          <w:sz w:val="24"/>
          <w:szCs w:val="24"/>
          <w:shd w:val="clear" w:color="auto" w:fill="FFFFFF"/>
          <w:lang w:val="ro-RO" w:eastAsia="ru-RU"/>
        </w:rPr>
        <w:t>Industria prelucrătoare</w:t>
      </w:r>
      <w:r w:rsidRPr="00644D4E">
        <w:rPr>
          <w:rFonts w:ascii="Times New Roman" w:eastAsiaTheme="minorEastAsia" w:hAnsi="Times New Roman" w:cs="Times New Roman"/>
          <w:sz w:val="24"/>
          <w:szCs w:val="24"/>
          <w:shd w:val="clear" w:color="auto" w:fill="FFFFFF"/>
          <w:lang w:val="ro-RO" w:eastAsia="ru-RU"/>
        </w:rPr>
        <w:t xml:space="preserve"> –12,2%, (în 2022 – 12,4%), iar în </w:t>
      </w:r>
      <w:r w:rsidRPr="00644D4E">
        <w:rPr>
          <w:rFonts w:ascii="Times New Roman" w:eastAsiaTheme="minorEastAsia" w:hAnsi="Times New Roman" w:cs="Times New Roman"/>
          <w:bCs/>
          <w:i/>
          <w:sz w:val="24"/>
          <w:szCs w:val="24"/>
          <w:shd w:val="clear" w:color="auto" w:fill="FFFFFF"/>
          <w:lang w:val="ro-RO" w:eastAsia="ru-RU"/>
        </w:rPr>
        <w:t>Construcții</w:t>
      </w:r>
      <w:r w:rsidRPr="00644D4E">
        <w:rPr>
          <w:rFonts w:ascii="Times New Roman" w:eastAsiaTheme="minorEastAsia" w:hAnsi="Times New Roman" w:cs="Times New Roman"/>
          <w:i/>
          <w:iCs/>
          <w:sz w:val="24"/>
          <w:szCs w:val="24"/>
          <w:shd w:val="clear" w:color="auto" w:fill="FFFFFF"/>
          <w:lang w:val="ro-RO" w:eastAsia="ru-RU"/>
        </w:rPr>
        <w:t xml:space="preserve"> </w:t>
      </w:r>
      <w:r w:rsidRPr="00644D4E">
        <w:rPr>
          <w:rFonts w:ascii="Times New Roman" w:eastAsiaTheme="minorEastAsia" w:hAnsi="Times New Roman" w:cs="Times New Roman"/>
          <w:sz w:val="24"/>
          <w:szCs w:val="24"/>
          <w:shd w:val="clear" w:color="auto" w:fill="FFFFFF"/>
          <w:lang w:val="ro-RO" w:eastAsia="ru-RU"/>
        </w:rPr>
        <w:t>–</w:t>
      </w:r>
      <w:r w:rsidRPr="00644D4E">
        <w:rPr>
          <w:rFonts w:ascii="Times New Roman" w:eastAsiaTheme="minorEastAsia" w:hAnsi="Times New Roman" w:cs="Times New Roman"/>
          <w:i/>
          <w:iCs/>
          <w:sz w:val="24"/>
          <w:szCs w:val="24"/>
          <w:shd w:val="clear" w:color="auto" w:fill="FFFFFF"/>
          <w:lang w:val="ro-RO" w:eastAsia="ru-RU"/>
        </w:rPr>
        <w:t xml:space="preserve"> </w:t>
      </w:r>
      <w:r w:rsidRPr="00644D4E">
        <w:rPr>
          <w:rFonts w:ascii="Times New Roman" w:eastAsiaTheme="minorEastAsia" w:hAnsi="Times New Roman" w:cs="Times New Roman"/>
          <w:b/>
          <w:sz w:val="24"/>
          <w:szCs w:val="24"/>
          <w:shd w:val="clear" w:color="auto" w:fill="FFFFFF"/>
          <w:lang w:val="ro-RO" w:eastAsia="ru-RU"/>
        </w:rPr>
        <w:t>7,1%</w:t>
      </w:r>
      <w:r w:rsidRPr="00644D4E">
        <w:rPr>
          <w:rFonts w:ascii="Times New Roman" w:eastAsiaTheme="minorEastAsia" w:hAnsi="Times New Roman" w:cs="Times New Roman"/>
          <w:sz w:val="24"/>
          <w:szCs w:val="24"/>
          <w:shd w:val="clear" w:color="auto" w:fill="FFFFFF"/>
          <w:lang w:val="ro-RO" w:eastAsia="ru-RU"/>
        </w:rPr>
        <w:t xml:space="preserve"> (în 2022 - 7,7%). În sectorul </w:t>
      </w:r>
      <w:r w:rsidRPr="00644D4E">
        <w:rPr>
          <w:rFonts w:ascii="Times New Roman" w:eastAsiaTheme="minorEastAsia" w:hAnsi="Times New Roman" w:cs="Times New Roman"/>
          <w:bCs/>
          <w:i/>
          <w:sz w:val="24"/>
          <w:szCs w:val="24"/>
          <w:shd w:val="clear" w:color="auto" w:fill="FFFFFF"/>
          <w:lang w:val="ro-RO" w:eastAsia="ru-RU"/>
        </w:rPr>
        <w:t>Servicii</w:t>
      </w:r>
      <w:r w:rsidRPr="00644D4E">
        <w:rPr>
          <w:rFonts w:ascii="Times New Roman" w:eastAsiaTheme="minorEastAsia" w:hAnsi="Times New Roman" w:cs="Times New Roman"/>
          <w:b/>
          <w:bCs/>
          <w:sz w:val="24"/>
          <w:szCs w:val="24"/>
          <w:shd w:val="clear" w:color="auto" w:fill="FFFFFF"/>
          <w:lang w:val="ro-RO" w:eastAsia="ru-RU"/>
        </w:rPr>
        <w:t> </w:t>
      </w:r>
      <w:r w:rsidRPr="00644D4E">
        <w:rPr>
          <w:rFonts w:ascii="Times New Roman" w:eastAsiaTheme="minorEastAsia" w:hAnsi="Times New Roman" w:cs="Times New Roman"/>
          <w:sz w:val="24"/>
          <w:szCs w:val="24"/>
          <w:shd w:val="clear" w:color="auto" w:fill="FFFFFF"/>
          <w:lang w:val="ro-RO" w:eastAsia="ru-RU"/>
        </w:rPr>
        <w:t xml:space="preserve">au activat 57,6% din totalul persoanelor ocupate, ponderea acestora fiind în </w:t>
      </w:r>
      <w:proofErr w:type="spellStart"/>
      <w:r w:rsidRPr="00644D4E">
        <w:rPr>
          <w:rFonts w:ascii="Times New Roman" w:eastAsiaTheme="minorEastAsia" w:hAnsi="Times New Roman" w:cs="Times New Roman"/>
          <w:sz w:val="24"/>
          <w:szCs w:val="24"/>
          <w:shd w:val="clear" w:color="auto" w:fill="FFFFFF"/>
          <w:lang w:val="ro-RO" w:eastAsia="ru-RU"/>
        </w:rPr>
        <w:t>creştere</w:t>
      </w:r>
      <w:proofErr w:type="spellEnd"/>
      <w:r w:rsidRPr="00644D4E">
        <w:rPr>
          <w:rFonts w:ascii="Times New Roman" w:eastAsiaTheme="minorEastAsia" w:hAnsi="Times New Roman" w:cs="Times New Roman"/>
          <w:sz w:val="24"/>
          <w:szCs w:val="24"/>
          <w:shd w:val="clear" w:color="auto" w:fill="FFFFFF"/>
          <w:lang w:val="ro-RO" w:eastAsia="ru-RU"/>
        </w:rPr>
        <w:t xml:space="preserve"> comparativ cu anul 2022 (56,7% ) (Figura 2.2.1.4).</w:t>
      </w:r>
    </w:p>
    <w:p w14:paraId="4362A520" w14:textId="77777777" w:rsidR="006314F4" w:rsidRPr="00644D4E" w:rsidRDefault="006314F4" w:rsidP="004C6FFA">
      <w:pPr>
        <w:shd w:val="clear" w:color="auto" w:fill="FFFFFF"/>
        <w:spacing w:after="60" w:line="240" w:lineRule="auto"/>
        <w:jc w:val="center"/>
        <w:rPr>
          <w:rFonts w:ascii="Times New Roman" w:eastAsiaTheme="minorEastAsia" w:hAnsi="Times New Roman" w:cs="Times New Roman"/>
          <w:b/>
          <w:i/>
          <w:shd w:val="clear" w:color="auto" w:fill="FFFFFF"/>
          <w:lang w:val="ro-RO" w:eastAsia="ru-RU"/>
        </w:rPr>
      </w:pPr>
      <w:r w:rsidRPr="00644D4E">
        <w:rPr>
          <w:rFonts w:ascii="Times New Roman" w:eastAsiaTheme="minorEastAsia" w:hAnsi="Times New Roman" w:cs="Times New Roman"/>
          <w:b/>
          <w:i/>
          <w:shd w:val="clear" w:color="auto" w:fill="FFFFFF"/>
          <w:lang w:val="ro-RO" w:eastAsia="ru-RU"/>
        </w:rPr>
        <w:t>Fig. 2.2.1.4. Distribuția populației ocupate după activități economice, anii 2022 și 2023</w:t>
      </w:r>
    </w:p>
    <w:p w14:paraId="3A65938B" w14:textId="77777777" w:rsidR="006314F4" w:rsidRPr="00644D4E" w:rsidRDefault="006314F4" w:rsidP="00CC2AF0">
      <w:pPr>
        <w:shd w:val="clear" w:color="auto" w:fill="FFFFFF"/>
        <w:spacing w:after="60" w:line="240" w:lineRule="auto"/>
        <w:jc w:val="center"/>
        <w:rPr>
          <w:rFonts w:ascii="Times New Roman" w:eastAsiaTheme="minorEastAsia" w:hAnsi="Times New Roman" w:cs="Times New Roman"/>
          <w:sz w:val="24"/>
          <w:szCs w:val="24"/>
          <w:shd w:val="clear" w:color="auto" w:fill="FFFFFF"/>
          <w:lang w:val="ro-RO" w:eastAsia="ru-RU"/>
        </w:rPr>
      </w:pPr>
      <w:r w:rsidRPr="00644D4E">
        <w:rPr>
          <w:lang w:val="ro-RO"/>
        </w:rPr>
        <w:drawing>
          <wp:inline distT="0" distB="0" distL="0" distR="0" wp14:anchorId="0365D8D6" wp14:editId="753C453B">
            <wp:extent cx="2867025" cy="2333625"/>
            <wp:effectExtent l="0" t="0" r="9525" b="9525"/>
            <wp:docPr id="451"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644D4E">
        <w:rPr>
          <w:lang w:val="ro-RO"/>
        </w:rPr>
        <w:drawing>
          <wp:inline distT="0" distB="0" distL="0" distR="0" wp14:anchorId="2438F12E" wp14:editId="37893838">
            <wp:extent cx="2809875" cy="2333625"/>
            <wp:effectExtent l="0" t="0" r="9525" b="9525"/>
            <wp:docPr id="45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5DA09F2" w14:textId="77777777" w:rsidR="006314F4" w:rsidRPr="00644D4E" w:rsidRDefault="006314F4" w:rsidP="006314F4">
      <w:pPr>
        <w:shd w:val="clear" w:color="auto" w:fill="FFFFFF"/>
        <w:spacing w:after="120" w:line="240" w:lineRule="auto"/>
        <w:rPr>
          <w:rFonts w:ascii="Times New Roman" w:eastAsiaTheme="minorEastAsia" w:hAnsi="Times New Roman" w:cs="Times New Roman"/>
          <w:sz w:val="16"/>
          <w:szCs w:val="16"/>
          <w:shd w:val="clear" w:color="auto" w:fill="FFFFFF"/>
          <w:lang w:val="ro-RO" w:eastAsia="ru-RU"/>
        </w:rPr>
      </w:pPr>
      <w:r w:rsidRPr="00644D4E">
        <w:rPr>
          <w:rFonts w:ascii="Times New Roman" w:eastAsiaTheme="minorEastAsia" w:hAnsi="Times New Roman" w:cs="Times New Roman"/>
          <w:sz w:val="16"/>
          <w:szCs w:val="16"/>
          <w:shd w:val="clear" w:color="auto" w:fill="FFFFFF"/>
          <w:lang w:val="ro-RO" w:eastAsia="ru-RU"/>
        </w:rPr>
        <w:t xml:space="preserve">        Sursa: BNS</w:t>
      </w:r>
    </w:p>
    <w:p w14:paraId="78BC6992" w14:textId="52930FA2" w:rsidR="006314F4" w:rsidRPr="00644D4E" w:rsidRDefault="006314F4" w:rsidP="006314F4">
      <w:pPr>
        <w:shd w:val="clear" w:color="auto" w:fill="FFFFFF"/>
        <w:spacing w:after="120" w:line="240" w:lineRule="auto"/>
        <w:jc w:val="both"/>
        <w:rPr>
          <w:rFonts w:ascii="Times New Roman" w:eastAsia="Times New Roman" w:hAnsi="Times New Roman" w:cs="Times New Roman"/>
          <w:sz w:val="24"/>
          <w:szCs w:val="24"/>
          <w:shd w:val="clear" w:color="auto" w:fill="FFFFFF"/>
          <w:lang w:val="ro-RO" w:eastAsia="ru-RU"/>
        </w:rPr>
      </w:pPr>
      <w:r w:rsidRPr="00644D4E">
        <w:rPr>
          <w:rFonts w:ascii="Times New Roman" w:eastAsia="Times New Roman" w:hAnsi="Times New Roman" w:cs="Times New Roman"/>
          <w:sz w:val="24"/>
          <w:szCs w:val="24"/>
          <w:shd w:val="clear" w:color="auto" w:fill="FFFFFF"/>
          <w:lang w:val="ro-RO" w:eastAsia="ru-RU"/>
        </w:rPr>
        <w:t xml:space="preserve">Dacă ne referim la analiza repartizării ocupării după activitățile economice în aspect de regiune, putem </w:t>
      </w:r>
      <w:proofErr w:type="spellStart"/>
      <w:r w:rsidRPr="00644D4E">
        <w:rPr>
          <w:rFonts w:ascii="Times New Roman" w:eastAsia="Times New Roman" w:hAnsi="Times New Roman" w:cs="Times New Roman"/>
          <w:sz w:val="24"/>
          <w:szCs w:val="24"/>
          <w:shd w:val="clear" w:color="auto" w:fill="FFFFFF"/>
          <w:lang w:val="ro-RO" w:eastAsia="ru-RU"/>
        </w:rPr>
        <w:t>menţiona</w:t>
      </w:r>
      <w:proofErr w:type="spellEnd"/>
      <w:r w:rsidRPr="00644D4E">
        <w:rPr>
          <w:rFonts w:ascii="Times New Roman" w:eastAsia="Times New Roman" w:hAnsi="Times New Roman" w:cs="Times New Roman"/>
          <w:sz w:val="24"/>
          <w:szCs w:val="24"/>
          <w:shd w:val="clear" w:color="auto" w:fill="FFFFFF"/>
          <w:lang w:val="ro-RO" w:eastAsia="ru-RU"/>
        </w:rPr>
        <w:t xml:space="preserve"> faptul, că domeniul </w:t>
      </w:r>
      <w:r w:rsidRPr="00644D4E">
        <w:rPr>
          <w:rFonts w:ascii="Times New Roman" w:eastAsia="Times New Roman" w:hAnsi="Times New Roman" w:cs="Times New Roman"/>
          <w:bCs/>
          <w:i/>
          <w:sz w:val="24"/>
          <w:szCs w:val="24"/>
          <w:shd w:val="clear" w:color="auto" w:fill="FFFFFF"/>
          <w:lang w:val="ro-RO" w:eastAsia="ru-RU"/>
        </w:rPr>
        <w:t>Servicii</w:t>
      </w:r>
      <w:r w:rsidRPr="00644D4E">
        <w:rPr>
          <w:rFonts w:ascii="Times New Roman" w:eastAsia="Times New Roman" w:hAnsi="Times New Roman" w:cs="Times New Roman"/>
          <w:sz w:val="24"/>
          <w:szCs w:val="24"/>
          <w:shd w:val="clear" w:color="auto" w:fill="FFFFFF"/>
          <w:lang w:val="ro-RO" w:eastAsia="ru-RU"/>
        </w:rPr>
        <w:t xml:space="preserve"> predomină în toate regiunile statistice, înregistrând valori cuprinse între </w:t>
      </w:r>
      <w:r w:rsidRPr="00644D4E">
        <w:rPr>
          <w:rFonts w:ascii="Times New Roman" w:eastAsia="Times New Roman" w:hAnsi="Times New Roman" w:cs="Times New Roman"/>
          <w:b/>
          <w:sz w:val="24"/>
          <w:szCs w:val="24"/>
          <w:shd w:val="clear" w:color="auto" w:fill="FFFFFF"/>
          <w:lang w:val="ro-RO" w:eastAsia="ru-RU"/>
        </w:rPr>
        <w:t>41%</w:t>
      </w:r>
      <w:r w:rsidRPr="00644D4E">
        <w:rPr>
          <w:rFonts w:ascii="Times New Roman" w:eastAsia="Times New Roman" w:hAnsi="Times New Roman" w:cs="Times New Roman"/>
          <w:sz w:val="24"/>
          <w:szCs w:val="24"/>
          <w:shd w:val="clear" w:color="auto" w:fill="FFFFFF"/>
          <w:lang w:val="ro-RO" w:eastAsia="ru-RU"/>
        </w:rPr>
        <w:t xml:space="preserve"> și </w:t>
      </w:r>
      <w:r w:rsidRPr="00644D4E">
        <w:rPr>
          <w:rFonts w:ascii="Times New Roman" w:eastAsia="Times New Roman" w:hAnsi="Times New Roman" w:cs="Times New Roman"/>
          <w:b/>
          <w:sz w:val="24"/>
          <w:szCs w:val="24"/>
          <w:shd w:val="clear" w:color="auto" w:fill="FFFFFF"/>
          <w:lang w:val="ro-RO" w:eastAsia="ru-RU"/>
        </w:rPr>
        <w:t>75%</w:t>
      </w:r>
      <w:r w:rsidRPr="00644D4E">
        <w:rPr>
          <w:rFonts w:ascii="Times New Roman" w:eastAsia="Times New Roman" w:hAnsi="Times New Roman" w:cs="Times New Roman"/>
          <w:sz w:val="24"/>
          <w:szCs w:val="24"/>
          <w:shd w:val="clear" w:color="auto" w:fill="FFFFFF"/>
          <w:lang w:val="ro-RO" w:eastAsia="ru-RU"/>
        </w:rPr>
        <w:t xml:space="preserve">, în domeniile </w:t>
      </w:r>
      <w:r w:rsidRPr="00644D4E">
        <w:rPr>
          <w:rFonts w:ascii="Times New Roman" w:eastAsia="Times New Roman" w:hAnsi="Times New Roman" w:cs="Times New Roman"/>
          <w:bCs/>
          <w:i/>
          <w:sz w:val="24"/>
          <w:szCs w:val="24"/>
          <w:shd w:val="clear" w:color="auto" w:fill="FFFFFF"/>
          <w:lang w:val="ro-RO" w:eastAsia="ru-RU"/>
        </w:rPr>
        <w:t>Industriei</w:t>
      </w:r>
      <w:r w:rsidRPr="00644D4E">
        <w:rPr>
          <w:rFonts w:ascii="Times New Roman" w:eastAsia="Times New Roman" w:hAnsi="Times New Roman" w:cs="Times New Roman"/>
          <w:i/>
          <w:iCs/>
          <w:sz w:val="24"/>
          <w:szCs w:val="24"/>
          <w:shd w:val="clear" w:color="auto" w:fill="FFFFFF"/>
          <w:lang w:val="ro-RO" w:eastAsia="ru-RU"/>
        </w:rPr>
        <w:t> </w:t>
      </w:r>
      <w:r w:rsidRPr="00644D4E">
        <w:rPr>
          <w:rFonts w:ascii="Times New Roman" w:eastAsia="Times New Roman" w:hAnsi="Times New Roman" w:cs="Times New Roman"/>
          <w:sz w:val="24"/>
          <w:szCs w:val="24"/>
          <w:shd w:val="clear" w:color="auto" w:fill="FFFFFF"/>
          <w:lang w:val="ro-RO" w:eastAsia="ru-RU"/>
        </w:rPr>
        <w:t>și </w:t>
      </w:r>
      <w:r w:rsidRPr="00644D4E">
        <w:rPr>
          <w:rFonts w:ascii="Times New Roman" w:eastAsia="Times New Roman" w:hAnsi="Times New Roman" w:cs="Times New Roman"/>
          <w:bCs/>
          <w:i/>
          <w:sz w:val="24"/>
          <w:szCs w:val="24"/>
          <w:shd w:val="clear" w:color="auto" w:fill="FFFFFF"/>
          <w:lang w:val="ro-RO" w:eastAsia="ru-RU"/>
        </w:rPr>
        <w:t>Construcțiilor</w:t>
      </w:r>
      <w:r w:rsidRPr="00644D4E">
        <w:rPr>
          <w:rFonts w:ascii="Times New Roman" w:eastAsia="Times New Roman" w:hAnsi="Times New Roman" w:cs="Times New Roman"/>
          <w:sz w:val="24"/>
          <w:szCs w:val="24"/>
          <w:shd w:val="clear" w:color="auto" w:fill="FFFFFF"/>
          <w:lang w:val="ro-RO" w:eastAsia="ru-RU"/>
        </w:rPr>
        <w:t xml:space="preserve">  o pondere mai mare în regiunea Centru (18,0% </w:t>
      </w:r>
      <w:r w:rsidRPr="00644D4E">
        <w:rPr>
          <w:rFonts w:ascii="Times New Roman" w:eastAsia="Times New Roman" w:hAnsi="Times New Roman" w:cs="Times New Roman"/>
          <w:i/>
          <w:sz w:val="24"/>
          <w:szCs w:val="24"/>
          <w:shd w:val="clear" w:color="auto" w:fill="FFFFFF"/>
          <w:lang w:val="ro-RO" w:eastAsia="ru-RU"/>
        </w:rPr>
        <w:t>Industrie</w:t>
      </w:r>
      <w:r w:rsidRPr="00644D4E">
        <w:rPr>
          <w:rFonts w:ascii="Times New Roman" w:eastAsia="Times New Roman" w:hAnsi="Times New Roman" w:cs="Times New Roman"/>
          <w:sz w:val="24"/>
          <w:szCs w:val="24"/>
          <w:shd w:val="clear" w:color="auto" w:fill="FFFFFF"/>
          <w:lang w:val="ro-RO" w:eastAsia="ru-RU"/>
        </w:rPr>
        <w:t xml:space="preserve"> și respectiv, 9,8% </w:t>
      </w:r>
      <w:r w:rsidRPr="00644D4E">
        <w:rPr>
          <w:rFonts w:ascii="Times New Roman" w:eastAsia="Times New Roman" w:hAnsi="Times New Roman" w:cs="Times New Roman"/>
          <w:i/>
          <w:sz w:val="24"/>
          <w:szCs w:val="24"/>
          <w:shd w:val="clear" w:color="auto" w:fill="FFFFFF"/>
          <w:lang w:val="ro-RO" w:eastAsia="ru-RU"/>
        </w:rPr>
        <w:t>Construcții</w:t>
      </w:r>
      <w:r w:rsidRPr="00644D4E">
        <w:rPr>
          <w:rFonts w:ascii="Times New Roman" w:eastAsia="Times New Roman" w:hAnsi="Times New Roman" w:cs="Times New Roman"/>
          <w:sz w:val="24"/>
          <w:szCs w:val="24"/>
          <w:shd w:val="clear" w:color="auto" w:fill="FFFFFF"/>
          <w:lang w:val="ro-RO" w:eastAsia="ru-RU"/>
        </w:rPr>
        <w:t>), iar domeniul </w:t>
      </w:r>
      <w:r w:rsidRPr="00644D4E">
        <w:rPr>
          <w:rFonts w:ascii="Times New Roman" w:eastAsia="Times New Roman" w:hAnsi="Times New Roman" w:cs="Times New Roman"/>
          <w:bCs/>
          <w:i/>
          <w:sz w:val="24"/>
          <w:szCs w:val="24"/>
          <w:shd w:val="clear" w:color="auto" w:fill="FFFFFF"/>
          <w:lang w:val="ro-RO" w:eastAsia="ru-RU"/>
        </w:rPr>
        <w:t xml:space="preserve">Agricultură, silvicultură </w:t>
      </w:r>
      <w:proofErr w:type="spellStart"/>
      <w:r w:rsidRPr="00644D4E">
        <w:rPr>
          <w:rFonts w:ascii="Times New Roman" w:eastAsia="Times New Roman" w:hAnsi="Times New Roman" w:cs="Times New Roman"/>
          <w:bCs/>
          <w:i/>
          <w:sz w:val="24"/>
          <w:szCs w:val="24"/>
          <w:shd w:val="clear" w:color="auto" w:fill="FFFFFF"/>
          <w:lang w:val="ro-RO" w:eastAsia="ru-RU"/>
        </w:rPr>
        <w:t>şi</w:t>
      </w:r>
      <w:proofErr w:type="spellEnd"/>
      <w:r w:rsidRPr="00644D4E">
        <w:rPr>
          <w:rFonts w:ascii="Times New Roman" w:eastAsia="Times New Roman" w:hAnsi="Times New Roman" w:cs="Times New Roman"/>
          <w:bCs/>
          <w:i/>
          <w:sz w:val="24"/>
          <w:szCs w:val="24"/>
          <w:shd w:val="clear" w:color="auto" w:fill="FFFFFF"/>
          <w:lang w:val="ro-RO" w:eastAsia="ru-RU"/>
        </w:rPr>
        <w:t xml:space="preserve"> pescuit </w:t>
      </w:r>
      <w:r w:rsidRPr="00644D4E">
        <w:rPr>
          <w:rFonts w:ascii="Times New Roman" w:eastAsia="Times New Roman" w:hAnsi="Times New Roman" w:cs="Times New Roman"/>
          <w:sz w:val="24"/>
          <w:szCs w:val="24"/>
          <w:shd w:val="clear" w:color="auto" w:fill="FFFFFF"/>
          <w:lang w:val="ro-RO" w:eastAsia="ru-RU"/>
        </w:rPr>
        <w:t xml:space="preserve"> – în regiunea Nord (41,6%) (Figura 2.2.1.6). Comparativ cu anul precedent populația ocupată a crescut în regiunea Sud în domeniul </w:t>
      </w:r>
      <w:r w:rsidRPr="00644D4E">
        <w:rPr>
          <w:rFonts w:ascii="Times New Roman" w:eastAsia="Times New Roman" w:hAnsi="Times New Roman" w:cs="Times New Roman"/>
          <w:i/>
          <w:sz w:val="24"/>
          <w:szCs w:val="24"/>
          <w:shd w:val="clear" w:color="auto" w:fill="FFFFFF"/>
          <w:lang w:val="ro-RO" w:eastAsia="ru-RU"/>
        </w:rPr>
        <w:t>Servicii</w:t>
      </w:r>
      <w:r w:rsidRPr="00644D4E">
        <w:rPr>
          <w:rFonts w:ascii="Times New Roman" w:eastAsia="Times New Roman" w:hAnsi="Times New Roman" w:cs="Times New Roman"/>
          <w:sz w:val="24"/>
          <w:szCs w:val="24"/>
          <w:shd w:val="clear" w:color="auto" w:fill="FFFFFF"/>
          <w:lang w:val="ro-RO" w:eastAsia="ru-RU"/>
        </w:rPr>
        <w:t xml:space="preserve">. </w:t>
      </w:r>
    </w:p>
    <w:p w14:paraId="6F2AEC04" w14:textId="77777777" w:rsidR="006314F4" w:rsidRPr="00644D4E" w:rsidRDefault="006314F4" w:rsidP="006314F4">
      <w:pPr>
        <w:spacing w:after="120" w:line="240" w:lineRule="auto"/>
        <w:jc w:val="both"/>
        <w:rPr>
          <w:rFonts w:ascii="Times New Roman" w:eastAsia="Calibri" w:hAnsi="Times New Roman" w:cs="Times New Roman"/>
          <w:sz w:val="24"/>
          <w:szCs w:val="24"/>
          <w:lang w:val="ro-RO"/>
        </w:rPr>
      </w:pPr>
      <w:r w:rsidRPr="00644D4E">
        <w:rPr>
          <w:rFonts w:ascii="Times New Roman" w:eastAsia="Calibri" w:hAnsi="Times New Roman" w:cs="Times New Roman"/>
          <w:sz w:val="24"/>
          <w:szCs w:val="24"/>
          <w:lang w:val="ro-RO"/>
        </w:rPr>
        <w:t xml:space="preserve">Repartizarea populației ocupate pe </w:t>
      </w:r>
      <w:r w:rsidRPr="00644D4E">
        <w:rPr>
          <w:rFonts w:ascii="Times New Roman" w:eastAsia="Calibri" w:hAnsi="Times New Roman" w:cs="Times New Roman"/>
          <w:b/>
          <w:sz w:val="24"/>
          <w:szCs w:val="24"/>
          <w:lang w:val="ro-RO"/>
        </w:rPr>
        <w:t>forme de proprietate</w:t>
      </w:r>
      <w:r w:rsidRPr="00644D4E">
        <w:rPr>
          <w:rFonts w:ascii="Times New Roman" w:eastAsia="Calibri" w:hAnsi="Times New Roman" w:cs="Times New Roman"/>
          <w:sz w:val="24"/>
          <w:szCs w:val="24"/>
          <w:lang w:val="ro-RO"/>
        </w:rPr>
        <w:t xml:space="preserve"> arată că sectorul privat a absorbit 71,3% din populația ocupată, și numai </w:t>
      </w:r>
      <w:r w:rsidRPr="00644D4E">
        <w:rPr>
          <w:rFonts w:ascii="Times New Roman" w:eastAsia="Calibri" w:hAnsi="Times New Roman" w:cs="Times New Roman"/>
          <w:b/>
          <w:sz w:val="24"/>
          <w:szCs w:val="24"/>
          <w:lang w:val="ro-RO"/>
        </w:rPr>
        <w:t>28,7%</w:t>
      </w:r>
      <w:r w:rsidRPr="00644D4E">
        <w:rPr>
          <w:rFonts w:ascii="Times New Roman" w:eastAsia="Calibri" w:hAnsi="Times New Roman" w:cs="Times New Roman"/>
          <w:sz w:val="24"/>
          <w:szCs w:val="24"/>
          <w:lang w:val="ro-RO"/>
        </w:rPr>
        <w:t xml:space="preserve"> sectorul public.</w:t>
      </w:r>
    </w:p>
    <w:p w14:paraId="5CAD3788" w14:textId="77777777" w:rsidR="00D0772B" w:rsidRPr="00644D4E" w:rsidRDefault="00D0772B" w:rsidP="006314F4">
      <w:pPr>
        <w:shd w:val="clear" w:color="auto" w:fill="FFFFFF"/>
        <w:spacing w:after="120" w:line="240" w:lineRule="auto"/>
        <w:jc w:val="center"/>
        <w:rPr>
          <w:rFonts w:ascii="Times New Roman" w:eastAsia="Times New Roman" w:hAnsi="Times New Roman" w:cs="Times New Roman"/>
          <w:b/>
          <w:i/>
          <w:shd w:val="clear" w:color="auto" w:fill="FFFFFF"/>
          <w:lang w:val="ro-RO" w:eastAsia="ru-RU"/>
        </w:rPr>
      </w:pPr>
    </w:p>
    <w:p w14:paraId="7C3853C3" w14:textId="77777777" w:rsidR="006314F4" w:rsidRPr="00644D4E" w:rsidRDefault="006314F4" w:rsidP="00D0772B">
      <w:pPr>
        <w:shd w:val="clear" w:color="auto" w:fill="FFFFFF"/>
        <w:spacing w:after="60" w:line="240" w:lineRule="auto"/>
        <w:jc w:val="center"/>
        <w:rPr>
          <w:rFonts w:ascii="Times New Roman" w:eastAsia="Times New Roman" w:hAnsi="Times New Roman" w:cs="Times New Roman"/>
          <w:b/>
          <w:i/>
          <w:shd w:val="clear" w:color="auto" w:fill="FFFFFF"/>
          <w:lang w:val="ro-RO" w:eastAsia="ru-RU"/>
        </w:rPr>
      </w:pPr>
      <w:r w:rsidRPr="00644D4E">
        <w:rPr>
          <w:rFonts w:ascii="Times New Roman" w:eastAsia="Times New Roman" w:hAnsi="Times New Roman" w:cs="Times New Roman"/>
          <w:b/>
          <w:i/>
          <w:shd w:val="clear" w:color="auto" w:fill="FFFFFF"/>
          <w:lang w:val="ro-RO" w:eastAsia="ru-RU"/>
        </w:rPr>
        <w:lastRenderedPageBreak/>
        <w:t>Fig. 2.2.1.6. Distribuția populației ocupate pe regiuni statistice și după activități economice, 2022-2023%</w:t>
      </w:r>
    </w:p>
    <w:p w14:paraId="17F26D9B" w14:textId="77777777" w:rsidR="006314F4" w:rsidRPr="00644D4E" w:rsidRDefault="006314F4" w:rsidP="00CC2AF0">
      <w:pPr>
        <w:shd w:val="clear" w:color="auto" w:fill="FFFFFF"/>
        <w:spacing w:after="60" w:line="240" w:lineRule="auto"/>
        <w:jc w:val="both"/>
        <w:rPr>
          <w:rFonts w:ascii="Times New Roman" w:eastAsia="Times New Roman" w:hAnsi="Times New Roman" w:cs="Times New Roman"/>
          <w:b/>
          <w:i/>
          <w:shd w:val="clear" w:color="auto" w:fill="FFFFFF"/>
          <w:lang w:val="ro-RO" w:eastAsia="ru-RU"/>
        </w:rPr>
      </w:pPr>
      <w:r w:rsidRPr="00644D4E">
        <w:rPr>
          <w:lang w:val="ro-RO"/>
        </w:rPr>
        <w:drawing>
          <wp:inline distT="0" distB="0" distL="0" distR="0" wp14:anchorId="263E9343" wp14:editId="49A43FCA">
            <wp:extent cx="2933700" cy="2076450"/>
            <wp:effectExtent l="0" t="0" r="0" b="0"/>
            <wp:docPr id="453"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644D4E">
        <w:rPr>
          <w:lang w:val="ro-RO"/>
        </w:rPr>
        <w:drawing>
          <wp:inline distT="0" distB="0" distL="0" distR="0" wp14:anchorId="3D30090A" wp14:editId="76D7AA9B">
            <wp:extent cx="2924175" cy="2076450"/>
            <wp:effectExtent l="0" t="0" r="9525" b="0"/>
            <wp:docPr id="454"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A63A042" w14:textId="77777777" w:rsidR="006314F4" w:rsidRPr="00644D4E" w:rsidRDefault="006314F4" w:rsidP="006314F4">
      <w:pPr>
        <w:shd w:val="clear" w:color="auto" w:fill="FFFFFF"/>
        <w:spacing w:before="100" w:beforeAutospacing="1" w:after="100" w:afterAutospacing="1" w:line="240" w:lineRule="auto"/>
        <w:contextualSpacing/>
        <w:rPr>
          <w:rFonts w:ascii="Times New Roman" w:eastAsia="Times New Roman" w:hAnsi="Times New Roman" w:cs="Times New Roman"/>
          <w:sz w:val="16"/>
          <w:szCs w:val="16"/>
          <w:shd w:val="clear" w:color="auto" w:fill="FFFFFF"/>
          <w:lang w:val="ro-RO" w:eastAsia="ru-RU"/>
        </w:rPr>
      </w:pPr>
      <w:r w:rsidRPr="00644D4E">
        <w:rPr>
          <w:rFonts w:ascii="Times New Roman" w:eastAsia="Times New Roman" w:hAnsi="Times New Roman" w:cs="Times New Roman"/>
          <w:sz w:val="16"/>
          <w:szCs w:val="16"/>
          <w:shd w:val="clear" w:color="auto" w:fill="FFFFFF"/>
          <w:lang w:val="ro-RO" w:eastAsia="ru-RU"/>
        </w:rPr>
        <w:t>Sursa: BNS</w:t>
      </w:r>
    </w:p>
    <w:p w14:paraId="6B07F2B8" w14:textId="77777777" w:rsidR="006314F4" w:rsidRPr="00644D4E" w:rsidRDefault="006314F4" w:rsidP="006314F4">
      <w:pPr>
        <w:shd w:val="clear" w:color="auto" w:fill="FFFFFF"/>
        <w:spacing w:before="100" w:beforeAutospacing="1" w:after="100" w:afterAutospacing="1" w:line="240" w:lineRule="auto"/>
        <w:contextualSpacing/>
        <w:rPr>
          <w:rFonts w:ascii="Times New Roman" w:eastAsia="Times New Roman" w:hAnsi="Times New Roman" w:cs="Times New Roman"/>
          <w:sz w:val="16"/>
          <w:szCs w:val="16"/>
          <w:shd w:val="clear" w:color="auto" w:fill="FFFFFF"/>
          <w:lang w:val="ro-RO" w:eastAsia="ru-RU"/>
        </w:rPr>
      </w:pPr>
    </w:p>
    <w:p w14:paraId="2AF76884" w14:textId="51E7B9AF" w:rsidR="006314F4" w:rsidRPr="00644D4E" w:rsidRDefault="006314F4" w:rsidP="006314F4">
      <w:pPr>
        <w:spacing w:after="120" w:line="240" w:lineRule="auto"/>
        <w:jc w:val="both"/>
        <w:rPr>
          <w:rFonts w:ascii="Times New Roman" w:eastAsia="Times New Roman" w:hAnsi="Times New Roman" w:cs="Times New Roman"/>
          <w:sz w:val="24"/>
          <w:szCs w:val="24"/>
          <w:lang w:val="ro-RO"/>
        </w:rPr>
      </w:pPr>
      <w:r w:rsidRPr="00644D4E">
        <w:rPr>
          <w:rFonts w:ascii="Times New Roman" w:eastAsia="Times New Roman" w:hAnsi="Times New Roman" w:cs="Times New Roman"/>
          <w:sz w:val="24"/>
          <w:szCs w:val="24"/>
          <w:lang w:val="ro-RO"/>
        </w:rPr>
        <w:t>Structura populației ocupate după </w:t>
      </w:r>
      <w:r w:rsidRPr="00644D4E">
        <w:rPr>
          <w:rFonts w:ascii="Times New Roman" w:eastAsia="Times New Roman" w:hAnsi="Times New Roman" w:cs="Times New Roman"/>
          <w:b/>
          <w:bCs/>
          <w:sz w:val="24"/>
          <w:szCs w:val="24"/>
          <w:lang w:val="ro-RO"/>
        </w:rPr>
        <w:t>statutul profesional</w:t>
      </w:r>
      <w:r w:rsidRPr="00644D4E">
        <w:rPr>
          <w:rFonts w:ascii="Times New Roman" w:eastAsia="Times New Roman" w:hAnsi="Times New Roman" w:cs="Times New Roman"/>
          <w:sz w:val="24"/>
          <w:szCs w:val="24"/>
          <w:lang w:val="ro-RO"/>
        </w:rPr>
        <w:t xml:space="preserve"> relevă că marea majoritate a </w:t>
      </w:r>
      <w:proofErr w:type="spellStart"/>
      <w:r w:rsidRPr="00644D4E">
        <w:rPr>
          <w:rFonts w:ascii="Times New Roman" w:eastAsia="Times New Roman" w:hAnsi="Times New Roman" w:cs="Times New Roman"/>
          <w:sz w:val="24"/>
          <w:szCs w:val="24"/>
          <w:lang w:val="ro-RO"/>
        </w:rPr>
        <w:t>populaţiei</w:t>
      </w:r>
      <w:proofErr w:type="spellEnd"/>
      <w:r w:rsidRPr="00644D4E">
        <w:rPr>
          <w:rFonts w:ascii="Times New Roman" w:eastAsia="Times New Roman" w:hAnsi="Times New Roman" w:cs="Times New Roman"/>
          <w:sz w:val="24"/>
          <w:szCs w:val="24"/>
          <w:lang w:val="ro-RO"/>
        </w:rPr>
        <w:t xml:space="preserve"> ocupate o constituie salariații </w:t>
      </w:r>
      <w:r w:rsidRPr="00644D4E">
        <w:rPr>
          <w:rFonts w:ascii="Times New Roman" w:eastAsiaTheme="minorEastAsia" w:hAnsi="Times New Roman" w:cs="Times New Roman"/>
          <w:sz w:val="24"/>
          <w:szCs w:val="24"/>
          <w:shd w:val="clear" w:color="auto" w:fill="FFFFFF"/>
          <w:lang w:val="ro-RO" w:eastAsia="ru-RU"/>
        </w:rPr>
        <w:t xml:space="preserve">– </w:t>
      </w:r>
      <w:r w:rsidRPr="00644D4E">
        <w:rPr>
          <w:rFonts w:ascii="Times New Roman" w:eastAsia="Times New Roman" w:hAnsi="Times New Roman" w:cs="Times New Roman"/>
          <w:b/>
          <w:sz w:val="24"/>
          <w:szCs w:val="24"/>
          <w:lang w:val="ro-RO"/>
        </w:rPr>
        <w:t>79,5%</w:t>
      </w:r>
      <w:r w:rsidRPr="00644D4E">
        <w:rPr>
          <w:rFonts w:ascii="Times New Roman" w:eastAsia="Times New Roman" w:hAnsi="Times New Roman" w:cs="Times New Roman"/>
          <w:sz w:val="24"/>
          <w:szCs w:val="24"/>
          <w:lang w:val="ro-RO"/>
        </w:rPr>
        <w:t xml:space="preserve"> </w:t>
      </w:r>
      <w:r w:rsidR="0054353E" w:rsidRPr="00644D4E">
        <w:rPr>
          <w:rFonts w:ascii="Times New Roman" w:eastAsia="Times New Roman" w:hAnsi="Times New Roman" w:cs="Times New Roman"/>
          <w:sz w:val="24"/>
          <w:szCs w:val="24"/>
          <w:lang w:val="ro-RO"/>
        </w:rPr>
        <w:t xml:space="preserve">din totalul populației </w:t>
      </w:r>
      <w:r w:rsidRPr="00644D4E">
        <w:rPr>
          <w:rFonts w:ascii="Times New Roman" w:eastAsia="Times New Roman" w:hAnsi="Times New Roman" w:cs="Times New Roman"/>
          <w:sz w:val="24"/>
          <w:szCs w:val="24"/>
          <w:lang w:val="ro-RO"/>
        </w:rPr>
        <w:t xml:space="preserve">ocupate (2022-79,4%), </w:t>
      </w:r>
      <w:proofErr w:type="spellStart"/>
      <w:r w:rsidRPr="00644D4E">
        <w:rPr>
          <w:rFonts w:ascii="Times New Roman" w:eastAsia="Times New Roman" w:hAnsi="Times New Roman" w:cs="Times New Roman"/>
          <w:sz w:val="24"/>
          <w:szCs w:val="24"/>
          <w:lang w:val="ro-RO"/>
        </w:rPr>
        <w:t>urmaţi</w:t>
      </w:r>
      <w:proofErr w:type="spellEnd"/>
      <w:r w:rsidRPr="00644D4E">
        <w:rPr>
          <w:rFonts w:ascii="Times New Roman" w:eastAsia="Times New Roman" w:hAnsi="Times New Roman" w:cs="Times New Roman"/>
          <w:sz w:val="24"/>
          <w:szCs w:val="24"/>
          <w:lang w:val="ro-RO"/>
        </w:rPr>
        <w:t xml:space="preserve"> de lucrătorii pe cont propriu (15,9%) </w:t>
      </w:r>
      <w:proofErr w:type="spellStart"/>
      <w:r w:rsidRPr="00644D4E">
        <w:rPr>
          <w:rFonts w:ascii="Times New Roman" w:eastAsia="Times New Roman" w:hAnsi="Times New Roman" w:cs="Times New Roman"/>
          <w:sz w:val="24"/>
          <w:szCs w:val="24"/>
          <w:lang w:val="ro-RO"/>
        </w:rPr>
        <w:t>şi</w:t>
      </w:r>
      <w:proofErr w:type="spellEnd"/>
      <w:r w:rsidRPr="00644D4E">
        <w:rPr>
          <w:rFonts w:ascii="Times New Roman" w:eastAsia="Times New Roman" w:hAnsi="Times New Roman" w:cs="Times New Roman"/>
          <w:sz w:val="24"/>
          <w:szCs w:val="24"/>
          <w:lang w:val="ro-RO"/>
        </w:rPr>
        <w:t xml:space="preserve"> lucrătorii familiali </w:t>
      </w:r>
      <w:proofErr w:type="spellStart"/>
      <w:r w:rsidRPr="00644D4E">
        <w:rPr>
          <w:rFonts w:ascii="Times New Roman" w:eastAsia="Times New Roman" w:hAnsi="Times New Roman" w:cs="Times New Roman"/>
          <w:sz w:val="24"/>
          <w:szCs w:val="24"/>
          <w:lang w:val="ro-RO"/>
        </w:rPr>
        <w:t>neremuneraţi</w:t>
      </w:r>
      <w:proofErr w:type="spellEnd"/>
      <w:r w:rsidRPr="00644D4E">
        <w:rPr>
          <w:rFonts w:ascii="Times New Roman" w:eastAsia="Times New Roman" w:hAnsi="Times New Roman" w:cs="Times New Roman"/>
          <w:sz w:val="24"/>
          <w:szCs w:val="24"/>
          <w:lang w:val="ro-RO"/>
        </w:rPr>
        <w:t xml:space="preserve"> (4,1%). Majoritatea absolută a salariaților (88,2%) au fost </w:t>
      </w:r>
      <w:proofErr w:type="spellStart"/>
      <w:r w:rsidRPr="00644D4E">
        <w:rPr>
          <w:rFonts w:ascii="Times New Roman" w:eastAsia="Times New Roman" w:hAnsi="Times New Roman" w:cs="Times New Roman"/>
          <w:sz w:val="24"/>
          <w:szCs w:val="24"/>
          <w:lang w:val="ro-RO"/>
        </w:rPr>
        <w:t>angajaţi</w:t>
      </w:r>
      <w:proofErr w:type="spellEnd"/>
      <w:r w:rsidRPr="00644D4E">
        <w:rPr>
          <w:rFonts w:ascii="Times New Roman" w:eastAsia="Times New Roman" w:hAnsi="Times New Roman" w:cs="Times New Roman"/>
          <w:sz w:val="24"/>
          <w:szCs w:val="24"/>
          <w:lang w:val="ro-RO"/>
        </w:rPr>
        <w:t xml:space="preserve"> pe o perioadă nedeterminată de timp. </w:t>
      </w:r>
    </w:p>
    <w:p w14:paraId="70716A8A" w14:textId="77777777" w:rsidR="006314F4" w:rsidRPr="00644D4E" w:rsidRDefault="006314F4" w:rsidP="006314F4">
      <w:pPr>
        <w:shd w:val="clear" w:color="auto" w:fill="FFFFFF"/>
        <w:spacing w:after="120" w:line="240" w:lineRule="auto"/>
        <w:jc w:val="both"/>
        <w:rPr>
          <w:rFonts w:ascii="Times New Roman" w:eastAsia="Times New Roman" w:hAnsi="Times New Roman" w:cs="Times New Roman"/>
          <w:b/>
          <w:sz w:val="24"/>
          <w:szCs w:val="24"/>
          <w:lang w:val="ro-RO" w:eastAsia="ru-RU"/>
        </w:rPr>
      </w:pPr>
      <w:r w:rsidRPr="00644D4E">
        <w:rPr>
          <w:rFonts w:ascii="Times New Roman" w:eastAsia="Times New Roman" w:hAnsi="Times New Roman" w:cs="Times New Roman"/>
          <w:sz w:val="24"/>
          <w:szCs w:val="24"/>
          <w:shd w:val="clear" w:color="auto" w:fill="FFFFFF"/>
          <w:lang w:val="ro-RO" w:eastAsia="ru-RU"/>
        </w:rPr>
        <w:t xml:space="preserve">Analizând repartizarea populației ocupate după nivelul de studii, se observă că ponderile cele mai mari reveneau persoanelor cu nivel superior de instruire </w:t>
      </w:r>
      <w:r w:rsidRPr="00644D4E">
        <w:rPr>
          <w:rFonts w:ascii="Times New Roman" w:eastAsiaTheme="minorEastAsia" w:hAnsi="Times New Roman" w:cs="Times New Roman"/>
          <w:sz w:val="24"/>
          <w:szCs w:val="24"/>
          <w:shd w:val="clear" w:color="auto" w:fill="FFFFFF"/>
          <w:lang w:val="ro-RO" w:eastAsia="ru-RU"/>
        </w:rPr>
        <w:t xml:space="preserve">– </w:t>
      </w:r>
      <w:r w:rsidRPr="00644D4E">
        <w:rPr>
          <w:rFonts w:ascii="Times New Roman" w:eastAsia="Times New Roman" w:hAnsi="Times New Roman" w:cs="Times New Roman"/>
          <w:b/>
          <w:sz w:val="24"/>
          <w:szCs w:val="24"/>
          <w:shd w:val="clear" w:color="auto" w:fill="FFFFFF"/>
          <w:lang w:val="ro-RO" w:eastAsia="ru-RU"/>
        </w:rPr>
        <w:t xml:space="preserve">27,6% </w:t>
      </w:r>
      <w:r w:rsidRPr="00644D4E">
        <w:rPr>
          <w:rFonts w:ascii="Times New Roman" w:eastAsia="Times New Roman" w:hAnsi="Times New Roman" w:cs="Times New Roman"/>
          <w:sz w:val="24"/>
          <w:szCs w:val="24"/>
          <w:lang w:val="ro-RO" w:eastAsia="ru-RU"/>
        </w:rPr>
        <w:t xml:space="preserve">(dintre care 58% erau femei) </w:t>
      </w:r>
      <w:proofErr w:type="spellStart"/>
      <w:r w:rsidRPr="00644D4E">
        <w:rPr>
          <w:rFonts w:ascii="Times New Roman" w:eastAsia="Times New Roman" w:hAnsi="Times New Roman" w:cs="Times New Roman"/>
          <w:sz w:val="24"/>
          <w:szCs w:val="24"/>
          <w:lang w:val="ro-RO" w:eastAsia="ru-RU"/>
        </w:rPr>
        <w:t>şi</w:t>
      </w:r>
      <w:proofErr w:type="spellEnd"/>
      <w:r w:rsidRPr="00644D4E">
        <w:rPr>
          <w:rFonts w:ascii="Times New Roman" w:eastAsia="Times New Roman" w:hAnsi="Times New Roman" w:cs="Times New Roman"/>
          <w:sz w:val="24"/>
          <w:szCs w:val="24"/>
          <w:lang w:val="ro-RO" w:eastAsia="ru-RU"/>
        </w:rPr>
        <w:t xml:space="preserve"> celor cu nivel profesional tehnic secundar </w:t>
      </w:r>
      <w:r w:rsidRPr="00644D4E">
        <w:rPr>
          <w:rFonts w:ascii="Times New Roman" w:eastAsiaTheme="minorEastAsia" w:hAnsi="Times New Roman" w:cs="Times New Roman"/>
          <w:sz w:val="24"/>
          <w:szCs w:val="24"/>
          <w:shd w:val="clear" w:color="auto" w:fill="FFFFFF"/>
          <w:lang w:val="ro-RO" w:eastAsia="ru-RU"/>
        </w:rPr>
        <w:t>–</w:t>
      </w:r>
      <w:r w:rsidRPr="00644D4E">
        <w:rPr>
          <w:rFonts w:ascii="Times New Roman" w:eastAsia="Times New Roman" w:hAnsi="Times New Roman" w:cs="Times New Roman"/>
          <w:sz w:val="24"/>
          <w:szCs w:val="24"/>
          <w:lang w:val="ro-RO" w:eastAsia="ru-RU"/>
        </w:rPr>
        <w:t xml:space="preserve"> </w:t>
      </w:r>
      <w:r w:rsidRPr="00644D4E">
        <w:rPr>
          <w:rFonts w:ascii="Times New Roman" w:eastAsia="Times New Roman" w:hAnsi="Times New Roman" w:cs="Times New Roman"/>
          <w:b/>
          <w:sz w:val="24"/>
          <w:szCs w:val="24"/>
          <w:lang w:val="ro-RO" w:eastAsia="ru-RU"/>
        </w:rPr>
        <w:t xml:space="preserve">23% </w:t>
      </w:r>
      <w:r w:rsidRPr="00644D4E">
        <w:rPr>
          <w:rFonts w:ascii="Times New Roman" w:eastAsia="Times New Roman" w:hAnsi="Times New Roman" w:cs="Times New Roman"/>
          <w:sz w:val="24"/>
          <w:szCs w:val="24"/>
          <w:lang w:val="ro-RO" w:eastAsia="ru-RU"/>
        </w:rPr>
        <w:t xml:space="preserve">(dintre care 36% erau femei). Ponderea persoanelor cu nivel profesional tehnic </w:t>
      </w:r>
      <w:proofErr w:type="spellStart"/>
      <w:r w:rsidRPr="00644D4E">
        <w:rPr>
          <w:rFonts w:ascii="Times New Roman" w:eastAsia="Times New Roman" w:hAnsi="Times New Roman" w:cs="Times New Roman"/>
          <w:sz w:val="24"/>
          <w:szCs w:val="24"/>
          <w:lang w:val="ro-RO" w:eastAsia="ru-RU"/>
        </w:rPr>
        <w:t>postsecundar</w:t>
      </w:r>
      <w:proofErr w:type="spellEnd"/>
      <w:r w:rsidRPr="00644D4E">
        <w:rPr>
          <w:rFonts w:ascii="Times New Roman" w:eastAsia="Times New Roman" w:hAnsi="Times New Roman" w:cs="Times New Roman"/>
          <w:sz w:val="24"/>
          <w:szCs w:val="24"/>
          <w:lang w:val="ro-RO" w:eastAsia="ru-RU"/>
        </w:rPr>
        <w:t xml:space="preserve"> </w:t>
      </w:r>
      <w:proofErr w:type="spellStart"/>
      <w:r w:rsidRPr="00644D4E">
        <w:rPr>
          <w:rFonts w:ascii="Times New Roman" w:eastAsia="Times New Roman" w:hAnsi="Times New Roman" w:cs="Times New Roman"/>
          <w:sz w:val="24"/>
          <w:szCs w:val="24"/>
          <w:lang w:val="ro-RO" w:eastAsia="ru-RU"/>
        </w:rPr>
        <w:t>nonterţiar</w:t>
      </w:r>
      <w:proofErr w:type="spellEnd"/>
      <w:r w:rsidRPr="00644D4E">
        <w:rPr>
          <w:rFonts w:ascii="Times New Roman" w:eastAsia="Times New Roman" w:hAnsi="Times New Roman" w:cs="Times New Roman"/>
          <w:sz w:val="24"/>
          <w:szCs w:val="24"/>
          <w:lang w:val="ro-RO" w:eastAsia="ru-RU"/>
        </w:rPr>
        <w:t xml:space="preserve"> a constituit </w:t>
      </w:r>
      <w:r w:rsidRPr="00644D4E">
        <w:rPr>
          <w:rFonts w:ascii="Times New Roman" w:eastAsiaTheme="minorEastAsia" w:hAnsi="Times New Roman" w:cs="Times New Roman"/>
          <w:sz w:val="24"/>
          <w:szCs w:val="24"/>
          <w:shd w:val="clear" w:color="auto" w:fill="FFFFFF"/>
          <w:lang w:val="ro-RO" w:eastAsia="ru-RU"/>
        </w:rPr>
        <w:t xml:space="preserve">– </w:t>
      </w:r>
      <w:r w:rsidRPr="00644D4E">
        <w:rPr>
          <w:rFonts w:ascii="Times New Roman" w:eastAsia="Times New Roman" w:hAnsi="Times New Roman" w:cs="Times New Roman"/>
          <w:b/>
          <w:sz w:val="24"/>
          <w:szCs w:val="24"/>
          <w:lang w:val="ro-RO" w:eastAsia="ru-RU"/>
        </w:rPr>
        <w:t xml:space="preserve">14,2% </w:t>
      </w:r>
      <w:r w:rsidRPr="00644D4E">
        <w:rPr>
          <w:rFonts w:ascii="Times New Roman" w:eastAsia="Times New Roman" w:hAnsi="Times New Roman" w:cs="Times New Roman"/>
          <w:sz w:val="24"/>
          <w:szCs w:val="24"/>
          <w:lang w:val="ro-RO" w:eastAsia="ru-RU"/>
        </w:rPr>
        <w:t xml:space="preserve">(dintre care 58% erau femei), iar a celor cu nivel liceal/mediu/general </w:t>
      </w:r>
      <w:r w:rsidRPr="00644D4E">
        <w:rPr>
          <w:rFonts w:ascii="Times New Roman" w:eastAsiaTheme="minorEastAsia" w:hAnsi="Times New Roman" w:cs="Times New Roman"/>
          <w:sz w:val="24"/>
          <w:szCs w:val="24"/>
          <w:shd w:val="clear" w:color="auto" w:fill="FFFFFF"/>
          <w:lang w:val="ro-RO" w:eastAsia="ru-RU"/>
        </w:rPr>
        <w:t xml:space="preserve">– </w:t>
      </w:r>
      <w:r w:rsidRPr="00644D4E">
        <w:rPr>
          <w:rFonts w:ascii="Times New Roman" w:eastAsia="Times New Roman" w:hAnsi="Times New Roman" w:cs="Times New Roman"/>
          <w:b/>
          <w:sz w:val="24"/>
          <w:szCs w:val="24"/>
          <w:lang w:val="ro-RO" w:eastAsia="ru-RU"/>
        </w:rPr>
        <w:t>16%</w:t>
      </w:r>
      <w:r w:rsidRPr="00644D4E">
        <w:rPr>
          <w:rFonts w:ascii="Times New Roman" w:eastAsia="Times New Roman" w:hAnsi="Times New Roman" w:cs="Times New Roman"/>
          <w:sz w:val="24"/>
          <w:szCs w:val="24"/>
          <w:lang w:val="ro-RO" w:eastAsia="ru-RU"/>
        </w:rPr>
        <w:t xml:space="preserve"> </w:t>
      </w:r>
      <w:proofErr w:type="spellStart"/>
      <w:r w:rsidRPr="00644D4E">
        <w:rPr>
          <w:rFonts w:ascii="Times New Roman" w:eastAsia="Times New Roman" w:hAnsi="Times New Roman" w:cs="Times New Roman"/>
          <w:sz w:val="24"/>
          <w:szCs w:val="24"/>
          <w:lang w:val="ro-RO" w:eastAsia="ru-RU"/>
        </w:rPr>
        <w:t>şi</w:t>
      </w:r>
      <w:proofErr w:type="spellEnd"/>
      <w:r w:rsidRPr="00644D4E">
        <w:rPr>
          <w:rFonts w:ascii="Times New Roman" w:eastAsia="Times New Roman" w:hAnsi="Times New Roman" w:cs="Times New Roman"/>
          <w:sz w:val="24"/>
          <w:szCs w:val="24"/>
          <w:lang w:val="ro-RO" w:eastAsia="ru-RU"/>
        </w:rPr>
        <w:t xml:space="preserve"> gimnazial, respectiv</w:t>
      </w:r>
      <w:r w:rsidRPr="00644D4E">
        <w:rPr>
          <w:rFonts w:ascii="Times New Roman" w:eastAsia="Times New Roman" w:hAnsi="Times New Roman" w:cs="Times New Roman"/>
          <w:b/>
          <w:sz w:val="24"/>
          <w:szCs w:val="24"/>
          <w:lang w:val="ro-RO" w:eastAsia="ru-RU"/>
        </w:rPr>
        <w:t xml:space="preserve"> </w:t>
      </w:r>
      <w:r w:rsidRPr="00644D4E">
        <w:rPr>
          <w:rFonts w:ascii="Times New Roman" w:eastAsiaTheme="minorEastAsia" w:hAnsi="Times New Roman" w:cs="Times New Roman"/>
          <w:sz w:val="24"/>
          <w:szCs w:val="24"/>
          <w:shd w:val="clear" w:color="auto" w:fill="FFFFFF"/>
          <w:lang w:val="ro-RO" w:eastAsia="ru-RU"/>
        </w:rPr>
        <w:t xml:space="preserve">– </w:t>
      </w:r>
      <w:r w:rsidRPr="00644D4E">
        <w:rPr>
          <w:rFonts w:ascii="Times New Roman" w:eastAsia="Times New Roman" w:hAnsi="Times New Roman" w:cs="Times New Roman"/>
          <w:b/>
          <w:sz w:val="24"/>
          <w:szCs w:val="24"/>
          <w:lang w:val="ro-RO" w:eastAsia="ru-RU"/>
        </w:rPr>
        <w:t>19%.</w:t>
      </w:r>
    </w:p>
    <w:p w14:paraId="4A112120" w14:textId="77777777" w:rsidR="006314F4" w:rsidRPr="00644D4E" w:rsidRDefault="006314F4" w:rsidP="00D0772B">
      <w:pPr>
        <w:shd w:val="clear" w:color="auto" w:fill="FFFFFF"/>
        <w:spacing w:after="60" w:line="240" w:lineRule="auto"/>
        <w:jc w:val="center"/>
        <w:rPr>
          <w:rFonts w:ascii="Times New Roman" w:eastAsia="Times New Roman" w:hAnsi="Times New Roman" w:cs="Times New Roman"/>
          <w:b/>
          <w:i/>
          <w:lang w:val="ro-RO" w:eastAsia="ru-RU"/>
        </w:rPr>
      </w:pPr>
      <w:r w:rsidRPr="00644D4E">
        <w:rPr>
          <w:rFonts w:ascii="Times New Roman" w:eastAsia="Times New Roman" w:hAnsi="Times New Roman" w:cs="Times New Roman"/>
          <w:b/>
          <w:i/>
          <w:lang w:val="ro-RO" w:eastAsia="ru-RU"/>
        </w:rPr>
        <w:t>Fig. 2.2.1.7. Populația ocupată după nivelul de instruire anii 2022 și 2023 (%)</w:t>
      </w:r>
    </w:p>
    <w:p w14:paraId="0E309F2C" w14:textId="77777777" w:rsidR="006314F4" w:rsidRPr="00644D4E" w:rsidRDefault="006314F4" w:rsidP="00CC2AF0">
      <w:pPr>
        <w:shd w:val="clear" w:color="auto" w:fill="FFFFFF"/>
        <w:spacing w:after="60" w:line="240" w:lineRule="auto"/>
        <w:jc w:val="center"/>
        <w:rPr>
          <w:rFonts w:ascii="Times New Roman" w:eastAsia="Times New Roman" w:hAnsi="Times New Roman" w:cs="Times New Roman"/>
          <w:b/>
          <w:i/>
          <w:lang w:val="ro-RO" w:eastAsia="ru-RU"/>
        </w:rPr>
      </w:pPr>
      <w:r w:rsidRPr="00644D4E">
        <w:rPr>
          <w:lang w:val="ro-RO"/>
        </w:rPr>
        <w:drawing>
          <wp:inline distT="0" distB="0" distL="0" distR="0" wp14:anchorId="4AB904AE" wp14:editId="36F5512B">
            <wp:extent cx="4561609" cy="2743200"/>
            <wp:effectExtent l="0" t="0" r="10795" b="0"/>
            <wp:docPr id="455"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A570697" w14:textId="77777777" w:rsidR="006314F4" w:rsidRPr="00644D4E" w:rsidRDefault="006314F4" w:rsidP="006314F4">
      <w:pPr>
        <w:shd w:val="clear" w:color="auto" w:fill="FFFFFF"/>
        <w:spacing w:before="100" w:beforeAutospacing="1" w:after="100" w:afterAutospacing="1" w:line="240" w:lineRule="auto"/>
        <w:contextualSpacing/>
        <w:rPr>
          <w:rFonts w:ascii="Graphik-Regular" w:eastAsia="Times New Roman" w:hAnsi="Graphik-Regular" w:cs="Times New Roman"/>
          <w:spacing w:val="-6"/>
          <w:sz w:val="16"/>
          <w:szCs w:val="16"/>
          <w:lang w:val="ro-RO" w:eastAsia="ru-RU"/>
        </w:rPr>
      </w:pPr>
      <w:r w:rsidRPr="00644D4E">
        <w:rPr>
          <w:rFonts w:ascii="Graphik-Regular" w:eastAsia="Times New Roman" w:hAnsi="Graphik-Regular" w:cs="Times New Roman"/>
          <w:spacing w:val="-6"/>
          <w:sz w:val="16"/>
          <w:szCs w:val="16"/>
          <w:lang w:val="ro-RO" w:eastAsia="ru-RU"/>
        </w:rPr>
        <w:t xml:space="preserve">                                    Sursa: BNS</w:t>
      </w:r>
    </w:p>
    <w:p w14:paraId="77A4C41D" w14:textId="77777777" w:rsidR="006314F4" w:rsidRPr="00644D4E" w:rsidRDefault="006314F4" w:rsidP="006314F4">
      <w:pPr>
        <w:shd w:val="clear" w:color="auto" w:fill="FFFFFF"/>
        <w:spacing w:before="100" w:beforeAutospacing="1" w:after="100" w:afterAutospacing="1" w:line="240" w:lineRule="auto"/>
        <w:contextualSpacing/>
        <w:rPr>
          <w:rFonts w:ascii="Graphik-Regular" w:eastAsia="Times New Roman" w:hAnsi="Graphik-Regular" w:cs="Times New Roman"/>
          <w:spacing w:val="-6"/>
          <w:sz w:val="16"/>
          <w:szCs w:val="16"/>
          <w:lang w:val="ro-RO" w:eastAsia="ru-RU"/>
        </w:rPr>
      </w:pPr>
    </w:p>
    <w:p w14:paraId="07049715" w14:textId="45E3FBA0" w:rsidR="006314F4" w:rsidRPr="00644D4E" w:rsidRDefault="006314F4" w:rsidP="006314F4">
      <w:pPr>
        <w:shd w:val="clear" w:color="auto" w:fill="FFFFFF"/>
        <w:spacing w:after="120" w:line="240" w:lineRule="auto"/>
        <w:jc w:val="both"/>
        <w:rPr>
          <w:rFonts w:ascii="Times New Roman" w:eastAsia="Times New Roman" w:hAnsi="Times New Roman" w:cs="Times New Roman"/>
          <w:sz w:val="24"/>
          <w:szCs w:val="24"/>
          <w:lang w:val="ro-RO" w:eastAsia="ru-RU"/>
        </w:rPr>
      </w:pPr>
      <w:r w:rsidRPr="00644D4E">
        <w:rPr>
          <w:rFonts w:ascii="Times New Roman" w:eastAsia="Calibri" w:hAnsi="Times New Roman" w:cs="Times New Roman"/>
          <w:sz w:val="24"/>
          <w:szCs w:val="24"/>
          <w:lang w:val="ro-RO"/>
        </w:rPr>
        <w:t xml:space="preserve">Numărul </w:t>
      </w:r>
      <w:r w:rsidRPr="00644D4E">
        <w:rPr>
          <w:rFonts w:ascii="Times New Roman" w:eastAsia="Calibri" w:hAnsi="Times New Roman" w:cs="Times New Roman"/>
          <w:b/>
          <w:sz w:val="24"/>
          <w:szCs w:val="24"/>
          <w:lang w:val="ro-RO"/>
        </w:rPr>
        <w:t>șomerilor BIM</w:t>
      </w:r>
      <w:r w:rsidRPr="00644D4E">
        <w:rPr>
          <w:rFonts w:ascii="Times New Roman" w:eastAsia="Calibri" w:hAnsi="Times New Roman" w:cs="Times New Roman"/>
          <w:sz w:val="24"/>
          <w:szCs w:val="24"/>
          <w:lang w:val="ro-RO"/>
        </w:rPr>
        <w:t xml:space="preserve"> în anul 2023 a constituit, 42,6 </w:t>
      </w:r>
      <w:r w:rsidRPr="00644D4E">
        <w:rPr>
          <w:rFonts w:ascii="Times New Roman" w:eastAsia="Calibri" w:hAnsi="Times New Roman" w:cs="Times New Roman"/>
          <w:b/>
          <w:sz w:val="24"/>
          <w:szCs w:val="24"/>
          <w:lang w:val="ro-RO"/>
        </w:rPr>
        <w:t xml:space="preserve">mii </w:t>
      </w:r>
      <w:r w:rsidRPr="00644D4E">
        <w:rPr>
          <w:rFonts w:ascii="Times New Roman" w:eastAsia="Calibri" w:hAnsi="Times New Roman" w:cs="Times New Roman"/>
          <w:sz w:val="24"/>
          <w:szCs w:val="24"/>
          <w:lang w:val="ro-RO"/>
        </w:rPr>
        <w:t xml:space="preserve">persoane fiind în creștere comparativ cu anul precedent </w:t>
      </w:r>
      <w:r w:rsidRPr="00644D4E">
        <w:rPr>
          <w:rFonts w:ascii="Times New Roman" w:eastAsia="Calibri" w:hAnsi="Times New Roman" w:cs="Times New Roman"/>
          <w:b/>
          <w:sz w:val="24"/>
          <w:szCs w:val="24"/>
          <w:lang w:val="ro-RO"/>
        </w:rPr>
        <w:t>27,7 mii</w:t>
      </w:r>
      <w:r w:rsidRPr="00644D4E">
        <w:rPr>
          <w:rFonts w:ascii="Times New Roman" w:eastAsia="Calibri" w:hAnsi="Times New Roman" w:cs="Times New Roman"/>
          <w:sz w:val="24"/>
          <w:szCs w:val="24"/>
          <w:lang w:val="ro-RO"/>
        </w:rPr>
        <w:t xml:space="preserve"> persoane. </w:t>
      </w:r>
      <w:r w:rsidRPr="00644D4E">
        <w:rPr>
          <w:rFonts w:ascii="Times New Roman" w:eastAsia="Times New Roman" w:hAnsi="Times New Roman" w:cs="Times New Roman"/>
          <w:spacing w:val="-6"/>
          <w:sz w:val="24"/>
          <w:szCs w:val="24"/>
          <w:lang w:val="ro-RO" w:eastAsia="ru-RU"/>
        </w:rPr>
        <w:t xml:space="preserve">Din repartizarea șomerilor BIM după studii, se observă că ponderile cele mai înalte o au cei cu nivelul profesional-tehnic și gimnazial </w:t>
      </w:r>
      <w:r w:rsidRPr="00644D4E">
        <w:rPr>
          <w:rFonts w:ascii="Times New Roman" w:eastAsia="Times New Roman" w:hAnsi="Times New Roman" w:cs="Times New Roman"/>
          <w:b/>
          <w:spacing w:val="-6"/>
          <w:sz w:val="24"/>
          <w:szCs w:val="24"/>
          <w:lang w:val="ro-RO" w:eastAsia="ru-RU"/>
        </w:rPr>
        <w:t>27%</w:t>
      </w:r>
      <w:r w:rsidRPr="00644D4E">
        <w:rPr>
          <w:rFonts w:ascii="Times New Roman" w:eastAsia="Times New Roman" w:hAnsi="Times New Roman" w:cs="Times New Roman"/>
          <w:spacing w:val="-6"/>
          <w:sz w:val="24"/>
          <w:szCs w:val="24"/>
          <w:lang w:val="ro-RO" w:eastAsia="ru-RU"/>
        </w:rPr>
        <w:t xml:space="preserve"> și respectiv </w:t>
      </w:r>
      <w:r w:rsidRPr="00644D4E">
        <w:rPr>
          <w:rFonts w:ascii="Times New Roman" w:eastAsia="Times New Roman" w:hAnsi="Times New Roman" w:cs="Times New Roman"/>
          <w:b/>
          <w:spacing w:val="-6"/>
          <w:sz w:val="24"/>
          <w:szCs w:val="24"/>
          <w:lang w:val="ro-RO" w:eastAsia="ru-RU"/>
        </w:rPr>
        <w:t>26%</w:t>
      </w:r>
      <w:r w:rsidRPr="00644D4E">
        <w:rPr>
          <w:rFonts w:ascii="Times New Roman" w:eastAsia="Times New Roman" w:hAnsi="Times New Roman" w:cs="Times New Roman"/>
          <w:spacing w:val="-6"/>
          <w:sz w:val="24"/>
          <w:szCs w:val="24"/>
          <w:lang w:val="ro-RO" w:eastAsia="ru-RU"/>
        </w:rPr>
        <w:t>.</w:t>
      </w:r>
      <w:r w:rsidRPr="00644D4E">
        <w:rPr>
          <w:rFonts w:ascii="Times New Roman" w:eastAsia="Times New Roman" w:hAnsi="Times New Roman" w:cs="Times New Roman"/>
          <w:sz w:val="24"/>
          <w:szCs w:val="24"/>
          <w:lang w:val="ro-RO" w:eastAsia="ru-RU"/>
        </w:rPr>
        <w:t xml:space="preserve"> În totalul șomerilor, absolvenții învățământului superior dețineau o pondere de </w:t>
      </w:r>
      <w:r w:rsidRPr="00644D4E">
        <w:rPr>
          <w:rFonts w:ascii="Times New Roman" w:eastAsia="Times New Roman" w:hAnsi="Times New Roman" w:cs="Times New Roman"/>
          <w:b/>
          <w:sz w:val="24"/>
          <w:szCs w:val="24"/>
          <w:lang w:val="ro-RO" w:eastAsia="ru-RU"/>
        </w:rPr>
        <w:t xml:space="preserve">17%, </w:t>
      </w:r>
      <w:r w:rsidRPr="00644D4E">
        <w:rPr>
          <w:rFonts w:ascii="Times New Roman" w:eastAsia="Times New Roman" w:hAnsi="Times New Roman" w:cs="Times New Roman"/>
          <w:sz w:val="24"/>
          <w:szCs w:val="24"/>
          <w:lang w:val="ro-RO" w:eastAsia="ru-RU"/>
        </w:rPr>
        <w:t>fiind la nivelul anului 2022.</w:t>
      </w:r>
    </w:p>
    <w:p w14:paraId="5624AE8F" w14:textId="77777777" w:rsidR="00CC2AF0" w:rsidRPr="00644D4E" w:rsidRDefault="00CC2AF0" w:rsidP="006314F4">
      <w:pPr>
        <w:shd w:val="clear" w:color="auto" w:fill="FFFFFF"/>
        <w:spacing w:after="120" w:line="240" w:lineRule="auto"/>
        <w:jc w:val="both"/>
        <w:rPr>
          <w:rFonts w:ascii="Times New Roman" w:eastAsia="Times New Roman" w:hAnsi="Times New Roman" w:cs="Times New Roman"/>
          <w:sz w:val="24"/>
          <w:szCs w:val="24"/>
          <w:lang w:val="ro-RO" w:eastAsia="ru-RU"/>
        </w:rPr>
      </w:pPr>
    </w:p>
    <w:p w14:paraId="58498B0D" w14:textId="77777777" w:rsidR="00D0772B" w:rsidRPr="00644D4E" w:rsidRDefault="00D0772B" w:rsidP="006314F4">
      <w:pPr>
        <w:spacing w:after="120" w:line="240" w:lineRule="auto"/>
        <w:jc w:val="center"/>
        <w:rPr>
          <w:rFonts w:ascii="Times New Roman" w:eastAsia="Times New Roman" w:hAnsi="Times New Roman" w:cs="Times New Roman"/>
          <w:b/>
          <w:i/>
          <w:spacing w:val="-6"/>
          <w:lang w:val="ro-RO" w:eastAsia="ru-RU"/>
        </w:rPr>
      </w:pPr>
    </w:p>
    <w:p w14:paraId="1868492B" w14:textId="77777777" w:rsidR="00D0772B" w:rsidRPr="00644D4E" w:rsidRDefault="00D0772B" w:rsidP="006314F4">
      <w:pPr>
        <w:spacing w:after="120" w:line="240" w:lineRule="auto"/>
        <w:jc w:val="center"/>
        <w:rPr>
          <w:rFonts w:ascii="Times New Roman" w:eastAsia="Times New Roman" w:hAnsi="Times New Roman" w:cs="Times New Roman"/>
          <w:b/>
          <w:i/>
          <w:spacing w:val="-6"/>
          <w:lang w:val="ro-RO" w:eastAsia="ru-RU"/>
        </w:rPr>
      </w:pPr>
    </w:p>
    <w:p w14:paraId="73CBA91F" w14:textId="77777777" w:rsidR="006314F4" w:rsidRPr="00644D4E" w:rsidRDefault="006314F4" w:rsidP="00D0772B">
      <w:pPr>
        <w:spacing w:after="60" w:line="240" w:lineRule="auto"/>
        <w:jc w:val="center"/>
        <w:rPr>
          <w:rFonts w:ascii="Times New Roman" w:eastAsia="Times New Roman" w:hAnsi="Times New Roman" w:cs="Times New Roman"/>
          <w:b/>
          <w:i/>
          <w:lang w:val="ro-RO" w:eastAsia="ru-RU"/>
        </w:rPr>
      </w:pPr>
      <w:r w:rsidRPr="00644D4E">
        <w:rPr>
          <w:rFonts w:ascii="Times New Roman" w:eastAsia="Times New Roman" w:hAnsi="Times New Roman" w:cs="Times New Roman"/>
          <w:b/>
          <w:i/>
          <w:spacing w:val="-6"/>
          <w:lang w:val="ro-RO" w:eastAsia="ru-RU"/>
        </w:rPr>
        <w:lastRenderedPageBreak/>
        <w:t xml:space="preserve">Fig. 2.2.1.8. </w:t>
      </w:r>
      <w:r w:rsidRPr="00644D4E">
        <w:rPr>
          <w:rFonts w:ascii="Times New Roman" w:eastAsia="Times New Roman" w:hAnsi="Times New Roman" w:cs="Times New Roman"/>
          <w:b/>
          <w:i/>
          <w:lang w:val="ro-RO" w:eastAsia="ru-RU"/>
        </w:rPr>
        <w:t>Distribuția șomerilor BIM după nivelul de instruire 2022-2023, mii persoane</w:t>
      </w:r>
    </w:p>
    <w:p w14:paraId="6723F46F" w14:textId="77777777" w:rsidR="006314F4" w:rsidRPr="00644D4E" w:rsidRDefault="006314F4" w:rsidP="00CC2AF0">
      <w:pPr>
        <w:spacing w:after="60" w:line="240" w:lineRule="auto"/>
        <w:jc w:val="center"/>
        <w:rPr>
          <w:rFonts w:ascii="Times New Roman" w:eastAsia="Times New Roman" w:hAnsi="Times New Roman" w:cs="Times New Roman"/>
          <w:b/>
          <w:i/>
          <w:lang w:val="ro-RO" w:eastAsia="ru-RU"/>
        </w:rPr>
      </w:pPr>
      <w:r w:rsidRPr="00644D4E">
        <w:rPr>
          <w:lang w:val="ro-RO"/>
        </w:rPr>
        <w:drawing>
          <wp:inline distT="0" distB="0" distL="0" distR="0" wp14:anchorId="7C379CCF" wp14:editId="7C87A842">
            <wp:extent cx="4505325" cy="2428875"/>
            <wp:effectExtent l="0" t="0" r="9525" b="9525"/>
            <wp:docPr id="456"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9652EFF" w14:textId="77777777" w:rsidR="006314F4" w:rsidRPr="00644D4E" w:rsidRDefault="006314F4" w:rsidP="006314F4">
      <w:pPr>
        <w:shd w:val="clear" w:color="auto" w:fill="FFFFFF"/>
        <w:spacing w:before="100" w:beforeAutospacing="1" w:after="100" w:afterAutospacing="1" w:line="240" w:lineRule="auto"/>
        <w:contextualSpacing/>
        <w:rPr>
          <w:rFonts w:ascii="Graphik-Regular" w:eastAsia="Times New Roman" w:hAnsi="Graphik-Regular" w:cs="Times New Roman"/>
          <w:spacing w:val="-6"/>
          <w:sz w:val="16"/>
          <w:szCs w:val="16"/>
          <w:lang w:val="ro-RO" w:eastAsia="ru-RU"/>
        </w:rPr>
      </w:pPr>
      <w:r w:rsidRPr="00644D4E">
        <w:rPr>
          <w:rFonts w:ascii="Graphik-Regular" w:eastAsia="Times New Roman" w:hAnsi="Graphik-Regular" w:cs="Times New Roman"/>
          <w:spacing w:val="-6"/>
          <w:sz w:val="16"/>
          <w:szCs w:val="16"/>
          <w:lang w:val="ro-RO" w:eastAsia="ru-RU"/>
        </w:rPr>
        <w:t xml:space="preserve">                                     Sursa: BNS</w:t>
      </w:r>
    </w:p>
    <w:p w14:paraId="69C8E352" w14:textId="77777777" w:rsidR="006314F4" w:rsidRPr="00644D4E" w:rsidRDefault="006314F4" w:rsidP="006314F4">
      <w:pPr>
        <w:shd w:val="clear" w:color="auto" w:fill="FFFFFF"/>
        <w:spacing w:before="100" w:beforeAutospacing="1" w:after="100" w:afterAutospacing="1" w:line="240" w:lineRule="auto"/>
        <w:contextualSpacing/>
        <w:rPr>
          <w:rFonts w:ascii="Graphik-Regular" w:eastAsia="Times New Roman" w:hAnsi="Graphik-Regular" w:cs="Times New Roman"/>
          <w:spacing w:val="-6"/>
          <w:sz w:val="16"/>
          <w:szCs w:val="16"/>
          <w:lang w:val="ro-RO" w:eastAsia="ru-RU"/>
        </w:rPr>
      </w:pPr>
    </w:p>
    <w:p w14:paraId="5AC5B633" w14:textId="617BEEB3" w:rsidR="006314F4" w:rsidRPr="00644D4E" w:rsidRDefault="006314F4" w:rsidP="006314F4">
      <w:pPr>
        <w:spacing w:after="120" w:line="240" w:lineRule="auto"/>
        <w:jc w:val="both"/>
        <w:rPr>
          <w:rFonts w:ascii="Times New Roman" w:eastAsia="Times New Roman" w:hAnsi="Times New Roman" w:cs="Times New Roman"/>
          <w:b/>
          <w:i/>
          <w:spacing w:val="-6"/>
          <w:lang w:val="ro-RO" w:eastAsia="ru-RU"/>
        </w:rPr>
      </w:pPr>
      <w:r w:rsidRPr="00644D4E">
        <w:rPr>
          <w:rFonts w:ascii="Times New Roman" w:eastAsia="Calibri" w:hAnsi="Times New Roman" w:cs="Times New Roman"/>
          <w:sz w:val="24"/>
          <w:szCs w:val="24"/>
          <w:lang w:val="ro-RO"/>
        </w:rPr>
        <w:t>Dacă, ne referim la distribuția șomerilor pe grupe de vârstă putem constata, că cea mai mare pondere o deține grupa de vârstă 35-44 ani (</w:t>
      </w:r>
      <w:r w:rsidRPr="00644D4E">
        <w:rPr>
          <w:rFonts w:ascii="Times New Roman" w:eastAsia="Calibri" w:hAnsi="Times New Roman" w:cs="Times New Roman"/>
          <w:b/>
          <w:sz w:val="24"/>
          <w:szCs w:val="24"/>
          <w:lang w:val="ro-RO"/>
        </w:rPr>
        <w:t>33%</w:t>
      </w:r>
      <w:r w:rsidRPr="00644D4E">
        <w:rPr>
          <w:rFonts w:ascii="Times New Roman" w:eastAsia="Calibri" w:hAnsi="Times New Roman" w:cs="Times New Roman"/>
          <w:sz w:val="24"/>
          <w:szCs w:val="24"/>
          <w:lang w:val="ro-RO"/>
        </w:rPr>
        <w:t xml:space="preserve">), urmată de grupa de vârstă 25-34 ani cu </w:t>
      </w:r>
      <w:r w:rsidRPr="00644D4E">
        <w:rPr>
          <w:rFonts w:ascii="Times New Roman" w:eastAsia="Calibri" w:hAnsi="Times New Roman" w:cs="Times New Roman"/>
          <w:b/>
          <w:sz w:val="24"/>
          <w:szCs w:val="24"/>
          <w:lang w:val="ro-RO"/>
        </w:rPr>
        <w:t>20%,</w:t>
      </w:r>
      <w:r w:rsidRPr="00644D4E">
        <w:rPr>
          <w:rFonts w:ascii="Times New Roman" w:eastAsia="Calibri" w:hAnsi="Times New Roman" w:cs="Times New Roman"/>
          <w:sz w:val="24"/>
          <w:szCs w:val="24"/>
          <w:lang w:val="ro-RO"/>
        </w:rPr>
        <w:t xml:space="preserve"> iar grupele de vârstă 15-24 ani </w:t>
      </w:r>
      <w:proofErr w:type="spellStart"/>
      <w:r w:rsidRPr="00644D4E">
        <w:rPr>
          <w:rFonts w:ascii="Times New Roman" w:eastAsia="Calibri" w:hAnsi="Times New Roman" w:cs="Times New Roman"/>
          <w:sz w:val="24"/>
          <w:szCs w:val="24"/>
          <w:lang w:val="ro-RO"/>
        </w:rPr>
        <w:t>şi</w:t>
      </w:r>
      <w:proofErr w:type="spellEnd"/>
      <w:r w:rsidRPr="00644D4E">
        <w:rPr>
          <w:rFonts w:ascii="Times New Roman" w:eastAsia="Calibri" w:hAnsi="Times New Roman" w:cs="Times New Roman"/>
          <w:sz w:val="24"/>
          <w:szCs w:val="24"/>
          <w:lang w:val="ro-RO"/>
        </w:rPr>
        <w:t xml:space="preserve"> 45-54 ani au ponderea </w:t>
      </w:r>
      <w:r w:rsidRPr="00644D4E">
        <w:rPr>
          <w:rFonts w:ascii="Times New Roman" w:eastAsia="Calibri" w:hAnsi="Times New Roman" w:cs="Times New Roman"/>
          <w:b/>
          <w:sz w:val="24"/>
          <w:szCs w:val="24"/>
          <w:lang w:val="ro-RO"/>
        </w:rPr>
        <w:t>14%</w:t>
      </w:r>
      <w:r w:rsidRPr="00644D4E">
        <w:rPr>
          <w:rFonts w:ascii="Times New Roman" w:eastAsia="Calibri" w:hAnsi="Times New Roman" w:cs="Times New Roman"/>
          <w:sz w:val="24"/>
          <w:szCs w:val="24"/>
          <w:lang w:val="ro-RO"/>
        </w:rPr>
        <w:t xml:space="preserve"> </w:t>
      </w:r>
      <w:proofErr w:type="spellStart"/>
      <w:r w:rsidRPr="00644D4E">
        <w:rPr>
          <w:rFonts w:ascii="Times New Roman" w:eastAsia="Calibri" w:hAnsi="Times New Roman" w:cs="Times New Roman"/>
          <w:sz w:val="24"/>
          <w:szCs w:val="24"/>
          <w:lang w:val="ro-RO"/>
        </w:rPr>
        <w:t>şi</w:t>
      </w:r>
      <w:proofErr w:type="spellEnd"/>
      <w:r w:rsidRPr="00644D4E">
        <w:rPr>
          <w:rFonts w:ascii="Times New Roman" w:eastAsia="Calibri" w:hAnsi="Times New Roman" w:cs="Times New Roman"/>
          <w:sz w:val="24"/>
          <w:szCs w:val="24"/>
          <w:lang w:val="ro-RO"/>
        </w:rPr>
        <w:t xml:space="preserve"> respectiv </w:t>
      </w:r>
      <w:r w:rsidRPr="00644D4E">
        <w:rPr>
          <w:rFonts w:ascii="Times New Roman" w:eastAsia="Calibri" w:hAnsi="Times New Roman" w:cs="Times New Roman"/>
          <w:b/>
          <w:sz w:val="24"/>
          <w:szCs w:val="24"/>
          <w:lang w:val="ro-RO"/>
        </w:rPr>
        <w:t>18%</w:t>
      </w:r>
      <w:r w:rsidRPr="00644D4E">
        <w:rPr>
          <w:rFonts w:ascii="Times New Roman" w:eastAsia="Calibri" w:hAnsi="Times New Roman" w:cs="Times New Roman"/>
          <w:sz w:val="24"/>
          <w:szCs w:val="24"/>
          <w:lang w:val="ro-RO"/>
        </w:rPr>
        <w:t xml:space="preserve">. Repartizarea pe sexe și medii a șomerilor relevă că, în anul 2023, preponderent în numărul total al șomerilor erau bărbații (55%) iar în aspect rural-urban ponderile au fost diferențiate (49% în urban față de 51% în rural). </w:t>
      </w:r>
    </w:p>
    <w:p w14:paraId="6DEBB491" w14:textId="6A812244" w:rsidR="006314F4" w:rsidRPr="00644D4E" w:rsidRDefault="006314F4" w:rsidP="006314F4">
      <w:pPr>
        <w:spacing w:after="120" w:line="240" w:lineRule="auto"/>
        <w:jc w:val="both"/>
        <w:rPr>
          <w:rFonts w:ascii="Times New Roman" w:eastAsia="Calibri" w:hAnsi="Times New Roman" w:cs="Times New Roman"/>
          <w:sz w:val="24"/>
          <w:szCs w:val="24"/>
          <w:shd w:val="clear" w:color="auto" w:fill="FFFFFF"/>
          <w:lang w:val="ro-RO"/>
        </w:rPr>
      </w:pPr>
      <w:r w:rsidRPr="00644D4E">
        <w:rPr>
          <w:rFonts w:ascii="Times New Roman" w:eastAsia="Calibri" w:hAnsi="Times New Roman" w:cs="Times New Roman"/>
          <w:b/>
          <w:bCs/>
          <w:sz w:val="24"/>
          <w:szCs w:val="24"/>
          <w:shd w:val="clear" w:color="auto" w:fill="FFFFFF"/>
          <w:lang w:val="ro-RO"/>
        </w:rPr>
        <w:t>Rata șomajului</w:t>
      </w:r>
      <w:r w:rsidRPr="00644D4E">
        <w:rPr>
          <w:rFonts w:ascii="Times New Roman" w:eastAsia="Calibri" w:hAnsi="Times New Roman" w:cs="Times New Roman"/>
          <w:sz w:val="24"/>
          <w:szCs w:val="24"/>
          <w:shd w:val="clear" w:color="auto" w:fill="FFFFFF"/>
          <w:lang w:val="ro-RO"/>
        </w:rPr>
        <w:t> </w:t>
      </w:r>
      <w:r w:rsidRPr="00644D4E">
        <w:rPr>
          <w:rFonts w:ascii="Times New Roman" w:eastAsia="Calibri" w:hAnsi="Times New Roman" w:cs="Times New Roman"/>
          <w:i/>
          <w:iCs/>
          <w:sz w:val="24"/>
          <w:szCs w:val="24"/>
          <w:shd w:val="clear" w:color="auto" w:fill="FFFFFF"/>
          <w:lang w:val="ro-RO"/>
        </w:rPr>
        <w:t>(ponderea șomerilor BIM în forța de muncă)</w:t>
      </w:r>
      <w:r w:rsidRPr="00644D4E">
        <w:rPr>
          <w:rFonts w:ascii="Times New Roman" w:eastAsia="Calibri" w:hAnsi="Times New Roman" w:cs="Times New Roman"/>
          <w:sz w:val="24"/>
          <w:szCs w:val="24"/>
          <w:shd w:val="clear" w:color="auto" w:fill="FFFFFF"/>
          <w:lang w:val="ro-RO"/>
        </w:rPr>
        <w:t xml:space="preserve"> la nivel de țară a înregistrat valoarea de </w:t>
      </w:r>
      <w:r w:rsidRPr="00644D4E">
        <w:rPr>
          <w:rFonts w:ascii="Times New Roman" w:eastAsia="Calibri" w:hAnsi="Times New Roman" w:cs="Times New Roman"/>
          <w:b/>
          <w:sz w:val="24"/>
          <w:szCs w:val="24"/>
          <w:shd w:val="clear" w:color="auto" w:fill="FFFFFF"/>
          <w:lang w:val="ro-RO"/>
        </w:rPr>
        <w:t>4,6%,</w:t>
      </w:r>
      <w:r w:rsidRPr="00644D4E">
        <w:rPr>
          <w:rFonts w:ascii="Times New Roman" w:eastAsia="Calibri" w:hAnsi="Times New Roman" w:cs="Times New Roman"/>
          <w:sz w:val="24"/>
          <w:szCs w:val="24"/>
          <w:shd w:val="clear" w:color="auto" w:fill="FFFFFF"/>
          <w:lang w:val="ro-RO"/>
        </w:rPr>
        <w:t xml:space="preserve"> fiind în </w:t>
      </w:r>
      <w:proofErr w:type="spellStart"/>
      <w:r w:rsidRPr="00644D4E">
        <w:rPr>
          <w:rFonts w:ascii="Times New Roman" w:eastAsia="Calibri" w:hAnsi="Times New Roman" w:cs="Times New Roman"/>
          <w:sz w:val="24"/>
          <w:szCs w:val="24"/>
          <w:shd w:val="clear" w:color="auto" w:fill="FFFFFF"/>
          <w:lang w:val="ro-RO"/>
        </w:rPr>
        <w:t>creştere</w:t>
      </w:r>
      <w:proofErr w:type="spellEnd"/>
      <w:r w:rsidRPr="00644D4E">
        <w:rPr>
          <w:rFonts w:ascii="Times New Roman" w:eastAsia="Calibri" w:hAnsi="Times New Roman" w:cs="Times New Roman"/>
          <w:sz w:val="24"/>
          <w:szCs w:val="24"/>
          <w:shd w:val="clear" w:color="auto" w:fill="FFFFFF"/>
          <w:lang w:val="ro-RO"/>
        </w:rPr>
        <w:t xml:space="preserve"> comparativ cu anul 2022 (3,1%). Rata șomajului la bărbați a fost de </w:t>
      </w:r>
      <w:r w:rsidRPr="00644D4E">
        <w:rPr>
          <w:rFonts w:ascii="Times New Roman" w:eastAsia="Calibri" w:hAnsi="Times New Roman" w:cs="Times New Roman"/>
          <w:b/>
          <w:sz w:val="24"/>
          <w:szCs w:val="24"/>
          <w:shd w:val="clear" w:color="auto" w:fill="FFFFFF"/>
          <w:lang w:val="ro-RO"/>
        </w:rPr>
        <w:t>5,0%,</w:t>
      </w:r>
      <w:r w:rsidRPr="00644D4E">
        <w:rPr>
          <w:rFonts w:ascii="Times New Roman" w:eastAsia="Calibri" w:hAnsi="Times New Roman" w:cs="Times New Roman"/>
          <w:sz w:val="24"/>
          <w:szCs w:val="24"/>
          <w:shd w:val="clear" w:color="auto" w:fill="FFFFFF"/>
          <w:lang w:val="ro-RO"/>
        </w:rPr>
        <w:t xml:space="preserve"> iar la femei de </w:t>
      </w:r>
      <w:r w:rsidRPr="00644D4E">
        <w:rPr>
          <w:rFonts w:ascii="Times New Roman" w:eastAsia="Calibri" w:hAnsi="Times New Roman" w:cs="Times New Roman"/>
          <w:b/>
          <w:sz w:val="24"/>
          <w:szCs w:val="24"/>
          <w:shd w:val="clear" w:color="auto" w:fill="FFFFFF"/>
          <w:lang w:val="ro-RO"/>
        </w:rPr>
        <w:t>4,2%</w:t>
      </w:r>
      <w:r w:rsidRPr="00644D4E">
        <w:rPr>
          <w:rFonts w:ascii="Times New Roman" w:eastAsia="Calibri" w:hAnsi="Times New Roman" w:cs="Times New Roman"/>
          <w:sz w:val="24"/>
          <w:szCs w:val="24"/>
          <w:shd w:val="clear" w:color="auto" w:fill="FFFFFF"/>
          <w:lang w:val="ro-RO"/>
        </w:rPr>
        <w:t xml:space="preserve">, în mediul urban – </w:t>
      </w:r>
      <w:r w:rsidRPr="00644D4E">
        <w:rPr>
          <w:rFonts w:ascii="Times New Roman" w:eastAsia="Calibri" w:hAnsi="Times New Roman" w:cs="Times New Roman"/>
          <w:b/>
          <w:sz w:val="24"/>
          <w:szCs w:val="24"/>
          <w:shd w:val="clear" w:color="auto" w:fill="FFFFFF"/>
          <w:lang w:val="ro-RO"/>
        </w:rPr>
        <w:t>4,8%</w:t>
      </w:r>
      <w:r w:rsidRPr="00644D4E">
        <w:rPr>
          <w:rFonts w:ascii="Times New Roman" w:eastAsia="Calibri" w:hAnsi="Times New Roman" w:cs="Times New Roman"/>
          <w:sz w:val="24"/>
          <w:szCs w:val="24"/>
          <w:shd w:val="clear" w:color="auto" w:fill="FFFFFF"/>
          <w:lang w:val="ro-RO"/>
        </w:rPr>
        <w:t xml:space="preserve"> și în mediul rural  – </w:t>
      </w:r>
      <w:r w:rsidRPr="00644D4E">
        <w:rPr>
          <w:rFonts w:ascii="Times New Roman" w:eastAsia="Calibri" w:hAnsi="Times New Roman" w:cs="Times New Roman"/>
          <w:b/>
          <w:sz w:val="24"/>
          <w:szCs w:val="24"/>
          <w:shd w:val="clear" w:color="auto" w:fill="FFFFFF"/>
          <w:lang w:val="ro-RO"/>
        </w:rPr>
        <w:t>4,4%</w:t>
      </w:r>
      <w:r w:rsidRPr="00644D4E">
        <w:rPr>
          <w:rFonts w:ascii="Times New Roman" w:eastAsia="Calibri" w:hAnsi="Times New Roman" w:cs="Times New Roman"/>
          <w:sz w:val="24"/>
          <w:szCs w:val="24"/>
          <w:shd w:val="clear" w:color="auto" w:fill="FFFFFF"/>
          <w:lang w:val="ro-RO"/>
        </w:rPr>
        <w:t>.</w:t>
      </w:r>
      <w:r w:rsidRPr="00644D4E">
        <w:rPr>
          <w:rFonts w:ascii="Times New Roman" w:eastAsia="Calibri" w:hAnsi="Times New Roman" w:cs="Times New Roman"/>
          <w:sz w:val="24"/>
          <w:szCs w:val="24"/>
          <w:lang w:val="ro-RO"/>
        </w:rPr>
        <w:t xml:space="preserve"> </w:t>
      </w:r>
      <w:r w:rsidRPr="00644D4E">
        <w:rPr>
          <w:rFonts w:ascii="Times New Roman" w:eastAsia="Calibri" w:hAnsi="Times New Roman" w:cs="Times New Roman"/>
          <w:sz w:val="24"/>
          <w:szCs w:val="24"/>
          <w:shd w:val="clear" w:color="auto" w:fill="FFFFFF"/>
          <w:lang w:val="ro-RO"/>
        </w:rPr>
        <w:t xml:space="preserve">În funcție de vârstă, cea mai înaltă rată a </w:t>
      </w:r>
      <w:proofErr w:type="spellStart"/>
      <w:r w:rsidRPr="00644D4E">
        <w:rPr>
          <w:rFonts w:ascii="Times New Roman" w:eastAsia="Calibri" w:hAnsi="Times New Roman" w:cs="Times New Roman"/>
          <w:sz w:val="24"/>
          <w:szCs w:val="24"/>
          <w:shd w:val="clear" w:color="auto" w:fill="FFFFFF"/>
          <w:lang w:val="ro-RO"/>
        </w:rPr>
        <w:t>şomajului</w:t>
      </w:r>
      <w:proofErr w:type="spellEnd"/>
      <w:r w:rsidRPr="00644D4E">
        <w:rPr>
          <w:rFonts w:ascii="Times New Roman" w:eastAsia="Calibri" w:hAnsi="Times New Roman" w:cs="Times New Roman"/>
          <w:sz w:val="24"/>
          <w:szCs w:val="24"/>
          <w:shd w:val="clear" w:color="auto" w:fill="FFFFFF"/>
          <w:lang w:val="ro-RO"/>
        </w:rPr>
        <w:t xml:space="preserve"> de </w:t>
      </w:r>
      <w:r w:rsidRPr="00644D4E">
        <w:rPr>
          <w:rFonts w:ascii="Times New Roman" w:eastAsia="Calibri" w:hAnsi="Times New Roman" w:cs="Times New Roman"/>
          <w:b/>
          <w:sz w:val="24"/>
          <w:szCs w:val="24"/>
          <w:shd w:val="clear" w:color="auto" w:fill="FFFFFF"/>
          <w:lang w:val="ro-RO"/>
        </w:rPr>
        <w:t>11,5%</w:t>
      </w:r>
      <w:r w:rsidRPr="00644D4E">
        <w:rPr>
          <w:rFonts w:ascii="Times New Roman" w:eastAsia="Calibri" w:hAnsi="Times New Roman" w:cs="Times New Roman"/>
          <w:sz w:val="24"/>
          <w:szCs w:val="24"/>
          <w:shd w:val="clear" w:color="auto" w:fill="FFFFFF"/>
          <w:lang w:val="ro-RO"/>
        </w:rPr>
        <w:t xml:space="preserve"> a fost înregistrată la tinerii cu vârsta de 15-24 ani, iar în categoria de vârstă 15-29 ani acest indicator a avut valoarea de </w:t>
      </w:r>
      <w:r w:rsidRPr="00644D4E">
        <w:rPr>
          <w:rFonts w:ascii="Times New Roman" w:eastAsia="Calibri" w:hAnsi="Times New Roman" w:cs="Times New Roman"/>
          <w:b/>
          <w:sz w:val="24"/>
          <w:szCs w:val="24"/>
          <w:shd w:val="clear" w:color="auto" w:fill="FFFFFF"/>
          <w:lang w:val="ro-RO"/>
        </w:rPr>
        <w:t>7,5%.</w:t>
      </w:r>
    </w:p>
    <w:p w14:paraId="067B0A0D" w14:textId="770C715A" w:rsidR="006314F4" w:rsidRPr="00644D4E" w:rsidRDefault="006314F4" w:rsidP="00D0772B">
      <w:pPr>
        <w:shd w:val="clear" w:color="auto" w:fill="FFFFFF"/>
        <w:spacing w:after="60" w:line="240" w:lineRule="auto"/>
        <w:jc w:val="center"/>
        <w:rPr>
          <w:rFonts w:ascii="Times New Roman" w:eastAsia="Times New Roman" w:hAnsi="Times New Roman" w:cs="Times New Roman"/>
          <w:b/>
          <w:i/>
          <w:spacing w:val="-6"/>
          <w:lang w:val="ro-RO" w:eastAsia="ru-RU"/>
        </w:rPr>
      </w:pPr>
      <w:r w:rsidRPr="00644D4E">
        <w:rPr>
          <w:rFonts w:ascii="Times New Roman" w:eastAsia="Times New Roman" w:hAnsi="Times New Roman" w:cs="Times New Roman"/>
          <w:b/>
          <w:i/>
          <w:spacing w:val="-6"/>
          <w:lang w:val="ro-RO" w:eastAsia="ru-RU"/>
        </w:rPr>
        <w:t>Fig. 2.2.1.9. Rata șomajului pe sexe și medii, anii 2022 și 2023, %</w:t>
      </w:r>
    </w:p>
    <w:p w14:paraId="393D5370" w14:textId="77777777" w:rsidR="006314F4" w:rsidRPr="00644D4E" w:rsidRDefault="006314F4" w:rsidP="00CC2AF0">
      <w:pPr>
        <w:shd w:val="clear" w:color="auto" w:fill="FFFFFF"/>
        <w:spacing w:after="60" w:line="240" w:lineRule="auto"/>
        <w:jc w:val="center"/>
        <w:rPr>
          <w:rFonts w:ascii="Times New Roman" w:eastAsia="Times New Roman" w:hAnsi="Times New Roman" w:cs="Times New Roman"/>
          <w:b/>
          <w:i/>
          <w:spacing w:val="-6"/>
          <w:lang w:val="ro-RO" w:eastAsia="ru-RU"/>
        </w:rPr>
      </w:pPr>
      <w:r w:rsidRPr="00644D4E">
        <w:rPr>
          <w:lang w:val="ro-RO"/>
        </w:rPr>
        <w:drawing>
          <wp:inline distT="0" distB="0" distL="0" distR="0" wp14:anchorId="7B4EDDF0" wp14:editId="1BA54B08">
            <wp:extent cx="4572000" cy="2743200"/>
            <wp:effectExtent l="0" t="0" r="0" b="0"/>
            <wp:docPr id="45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0B6CACE" w14:textId="77777777" w:rsidR="006314F4" w:rsidRPr="00644D4E" w:rsidRDefault="006314F4" w:rsidP="006314F4">
      <w:pPr>
        <w:shd w:val="clear" w:color="auto" w:fill="FFFFFF"/>
        <w:spacing w:after="120" w:line="240" w:lineRule="auto"/>
        <w:contextualSpacing/>
        <w:rPr>
          <w:rFonts w:ascii="Times New Roman" w:eastAsia="Times New Roman" w:hAnsi="Times New Roman" w:cs="Times New Roman"/>
          <w:spacing w:val="-6"/>
          <w:sz w:val="16"/>
          <w:szCs w:val="16"/>
          <w:lang w:val="ro-RO" w:eastAsia="ru-RU"/>
        </w:rPr>
      </w:pPr>
      <w:r w:rsidRPr="00644D4E">
        <w:rPr>
          <w:rFonts w:ascii="Times New Roman" w:eastAsia="Times New Roman" w:hAnsi="Times New Roman" w:cs="Times New Roman"/>
          <w:spacing w:val="-6"/>
          <w:sz w:val="16"/>
          <w:szCs w:val="16"/>
          <w:lang w:val="ro-RO" w:eastAsia="ru-RU"/>
        </w:rPr>
        <w:t xml:space="preserve">                                   Sursa: BNS</w:t>
      </w:r>
    </w:p>
    <w:p w14:paraId="7F8EEF83" w14:textId="77777777" w:rsidR="006314F4" w:rsidRPr="00644D4E" w:rsidRDefault="006314F4" w:rsidP="006314F4">
      <w:pPr>
        <w:shd w:val="clear" w:color="auto" w:fill="FFFFFF"/>
        <w:spacing w:after="120" w:line="240" w:lineRule="auto"/>
        <w:contextualSpacing/>
        <w:rPr>
          <w:rFonts w:ascii="Times New Roman" w:eastAsia="Times New Roman" w:hAnsi="Times New Roman" w:cs="Times New Roman"/>
          <w:spacing w:val="-6"/>
          <w:sz w:val="16"/>
          <w:szCs w:val="16"/>
          <w:lang w:val="ro-RO" w:eastAsia="ru-RU"/>
        </w:rPr>
      </w:pPr>
    </w:p>
    <w:p w14:paraId="29877B04" w14:textId="5887D863" w:rsidR="006314F4" w:rsidRPr="00644D4E" w:rsidRDefault="006314F4" w:rsidP="006314F4">
      <w:pPr>
        <w:shd w:val="clear" w:color="auto" w:fill="FFFFFF"/>
        <w:spacing w:after="120" w:line="240" w:lineRule="auto"/>
        <w:jc w:val="both"/>
        <w:rPr>
          <w:rFonts w:ascii="Times New Roman" w:eastAsia="Times New Roman" w:hAnsi="Times New Roman" w:cs="Times New Roman"/>
          <w:sz w:val="24"/>
          <w:szCs w:val="24"/>
          <w:lang w:val="ro-RO" w:eastAsia="ru-RU"/>
        </w:rPr>
      </w:pPr>
      <w:r w:rsidRPr="00644D4E">
        <w:rPr>
          <w:rFonts w:ascii="Times New Roman" w:eastAsia="Times New Roman" w:hAnsi="Times New Roman" w:cs="Times New Roman"/>
          <w:sz w:val="24"/>
          <w:szCs w:val="24"/>
          <w:lang w:val="ro-RO" w:eastAsia="ru-RU"/>
        </w:rPr>
        <w:t xml:space="preserve">Analiza șomerilor BIM după durata aflării în șomaj ne oferă informații despre tendințele disponibilității șomerilor de a-și găsi un loc de muncă. Șomerii care s-au aflat în șomaj de lungă durată (12 luni și peste) în anul 2023 au reprezentat </w:t>
      </w:r>
      <w:r w:rsidRPr="00644D4E">
        <w:rPr>
          <w:rFonts w:ascii="Times New Roman" w:eastAsia="Times New Roman" w:hAnsi="Times New Roman" w:cs="Times New Roman"/>
          <w:b/>
          <w:sz w:val="24"/>
          <w:szCs w:val="24"/>
          <w:lang w:val="ro-RO" w:eastAsia="ru-RU"/>
        </w:rPr>
        <w:t>17% (7,4 mii)</w:t>
      </w:r>
      <w:r w:rsidRPr="00644D4E">
        <w:rPr>
          <w:rFonts w:ascii="Times New Roman" w:eastAsia="Times New Roman" w:hAnsi="Times New Roman" w:cs="Times New Roman"/>
          <w:sz w:val="24"/>
          <w:szCs w:val="24"/>
          <w:lang w:val="ro-RO" w:eastAsia="ru-RU"/>
        </w:rPr>
        <w:t xml:space="preserve"> din totalul șomerilor, din care bărbații </w:t>
      </w:r>
      <w:proofErr w:type="spellStart"/>
      <w:r w:rsidRPr="00644D4E">
        <w:rPr>
          <w:rFonts w:ascii="Times New Roman" w:eastAsia="Times New Roman" w:hAnsi="Times New Roman" w:cs="Times New Roman"/>
          <w:sz w:val="24"/>
          <w:szCs w:val="24"/>
          <w:lang w:val="ro-RO" w:eastAsia="ru-RU"/>
        </w:rPr>
        <w:t>aflaţi</w:t>
      </w:r>
      <w:proofErr w:type="spellEnd"/>
      <w:r w:rsidRPr="00644D4E">
        <w:rPr>
          <w:rFonts w:ascii="Times New Roman" w:eastAsia="Times New Roman" w:hAnsi="Times New Roman" w:cs="Times New Roman"/>
          <w:sz w:val="24"/>
          <w:szCs w:val="24"/>
          <w:lang w:val="ro-RO" w:eastAsia="ru-RU"/>
        </w:rPr>
        <w:t xml:space="preserve"> în </w:t>
      </w:r>
      <w:proofErr w:type="spellStart"/>
      <w:r w:rsidRPr="00644D4E">
        <w:rPr>
          <w:rFonts w:ascii="Times New Roman" w:eastAsia="Times New Roman" w:hAnsi="Times New Roman" w:cs="Times New Roman"/>
          <w:sz w:val="24"/>
          <w:szCs w:val="24"/>
          <w:lang w:val="ro-RO" w:eastAsia="ru-RU"/>
        </w:rPr>
        <w:t>şomaj</w:t>
      </w:r>
      <w:proofErr w:type="spellEnd"/>
      <w:r w:rsidRPr="00644D4E">
        <w:rPr>
          <w:rFonts w:ascii="Times New Roman" w:eastAsia="Times New Roman" w:hAnsi="Times New Roman" w:cs="Times New Roman"/>
          <w:sz w:val="24"/>
          <w:szCs w:val="24"/>
          <w:lang w:val="ro-RO" w:eastAsia="ru-RU"/>
        </w:rPr>
        <w:t xml:space="preserve"> de lungă durată  reprezentau </w:t>
      </w:r>
      <w:r w:rsidRPr="00644D4E">
        <w:rPr>
          <w:rFonts w:ascii="Times New Roman" w:eastAsia="Times New Roman" w:hAnsi="Times New Roman" w:cs="Times New Roman"/>
          <w:b/>
          <w:sz w:val="24"/>
          <w:szCs w:val="24"/>
          <w:lang w:val="ro-RO" w:eastAsia="ru-RU"/>
        </w:rPr>
        <w:t xml:space="preserve">58%, </w:t>
      </w:r>
      <w:r w:rsidRPr="00644D4E">
        <w:rPr>
          <w:rFonts w:ascii="Times New Roman" w:eastAsia="Times New Roman" w:hAnsi="Times New Roman" w:cs="Times New Roman"/>
          <w:sz w:val="24"/>
          <w:szCs w:val="24"/>
          <w:lang w:val="ro-RO" w:eastAsia="ru-RU"/>
        </w:rPr>
        <w:t xml:space="preserve">iar femeile </w:t>
      </w:r>
      <w:r w:rsidRPr="00644D4E">
        <w:rPr>
          <w:rFonts w:ascii="Times New Roman" w:eastAsia="Times New Roman" w:hAnsi="Times New Roman" w:cs="Times New Roman"/>
          <w:b/>
          <w:sz w:val="24"/>
          <w:szCs w:val="24"/>
          <w:lang w:val="ro-RO" w:eastAsia="ru-RU"/>
        </w:rPr>
        <w:t>42%</w:t>
      </w:r>
      <w:r w:rsidRPr="00644D4E">
        <w:rPr>
          <w:rFonts w:ascii="Times New Roman" w:eastAsia="Times New Roman" w:hAnsi="Times New Roman" w:cs="Times New Roman"/>
          <w:sz w:val="24"/>
          <w:szCs w:val="24"/>
          <w:lang w:val="ro-RO" w:eastAsia="ru-RU"/>
        </w:rPr>
        <w:t>.</w:t>
      </w:r>
      <w:r w:rsidRPr="00644D4E">
        <w:rPr>
          <w:rFonts w:ascii="Times New Roman" w:eastAsia="Times New Roman" w:hAnsi="Times New Roman" w:cs="Times New Roman"/>
          <w:b/>
          <w:sz w:val="24"/>
          <w:szCs w:val="24"/>
          <w:lang w:val="ro-RO" w:eastAsia="ru-RU"/>
        </w:rPr>
        <w:t xml:space="preserve"> </w:t>
      </w:r>
      <w:r w:rsidRPr="00644D4E">
        <w:rPr>
          <w:rFonts w:ascii="Times New Roman" w:eastAsia="Times New Roman" w:hAnsi="Times New Roman" w:cs="Times New Roman"/>
          <w:sz w:val="24"/>
          <w:szCs w:val="24"/>
          <w:lang w:val="ro-RO" w:eastAsia="ru-RU"/>
        </w:rPr>
        <w:t xml:space="preserve">Pe medii de reședință proporțiile au fost destul de distorsionate, în mediul rural </w:t>
      </w:r>
      <w:proofErr w:type="spellStart"/>
      <w:r w:rsidRPr="00644D4E">
        <w:rPr>
          <w:rFonts w:ascii="Times New Roman" w:eastAsia="Times New Roman" w:hAnsi="Times New Roman" w:cs="Times New Roman"/>
          <w:sz w:val="24"/>
          <w:szCs w:val="24"/>
          <w:lang w:val="ro-RO" w:eastAsia="ru-RU"/>
        </w:rPr>
        <w:t>şomerii</w:t>
      </w:r>
      <w:proofErr w:type="spellEnd"/>
      <w:r w:rsidRPr="00644D4E">
        <w:rPr>
          <w:rFonts w:ascii="Times New Roman" w:eastAsia="Times New Roman" w:hAnsi="Times New Roman" w:cs="Times New Roman"/>
          <w:sz w:val="24"/>
          <w:szCs w:val="24"/>
          <w:lang w:val="ro-RO" w:eastAsia="ru-RU"/>
        </w:rPr>
        <w:t xml:space="preserve"> de lungă durată au constituit </w:t>
      </w:r>
      <w:r w:rsidRPr="00644D4E">
        <w:rPr>
          <w:rFonts w:ascii="Times New Roman" w:eastAsia="Times New Roman" w:hAnsi="Times New Roman" w:cs="Times New Roman"/>
          <w:b/>
          <w:sz w:val="24"/>
          <w:szCs w:val="24"/>
          <w:lang w:val="ro-RO" w:eastAsia="ru-RU"/>
        </w:rPr>
        <w:t>54%</w:t>
      </w:r>
      <w:r w:rsidRPr="00644D4E">
        <w:rPr>
          <w:rFonts w:ascii="Times New Roman" w:eastAsia="Times New Roman" w:hAnsi="Times New Roman" w:cs="Times New Roman"/>
          <w:sz w:val="24"/>
          <w:szCs w:val="24"/>
          <w:lang w:val="ro-RO" w:eastAsia="ru-RU"/>
        </w:rPr>
        <w:t xml:space="preserve">, iar in mediu </w:t>
      </w:r>
      <w:r w:rsidRPr="00644D4E">
        <w:rPr>
          <w:rFonts w:ascii="Times New Roman" w:eastAsia="Times New Roman" w:hAnsi="Times New Roman" w:cs="Times New Roman"/>
          <w:sz w:val="24"/>
          <w:szCs w:val="24"/>
          <w:lang w:val="ro-RO" w:eastAsia="ru-RU"/>
        </w:rPr>
        <w:lastRenderedPageBreak/>
        <w:t xml:space="preserve">urban </w:t>
      </w:r>
      <w:r w:rsidRPr="00644D4E">
        <w:rPr>
          <w:rFonts w:ascii="Times New Roman" w:eastAsia="Times New Roman" w:hAnsi="Times New Roman" w:cs="Times New Roman"/>
          <w:b/>
          <w:sz w:val="24"/>
          <w:szCs w:val="24"/>
          <w:lang w:val="ro-RO" w:eastAsia="ru-RU"/>
        </w:rPr>
        <w:t>46%.</w:t>
      </w:r>
      <w:r w:rsidRPr="00644D4E">
        <w:rPr>
          <w:rFonts w:ascii="Times New Roman" w:eastAsia="Times New Roman" w:hAnsi="Times New Roman" w:cs="Times New Roman"/>
          <w:sz w:val="24"/>
          <w:szCs w:val="24"/>
          <w:lang w:val="ro-RO" w:eastAsia="ru-RU"/>
        </w:rPr>
        <w:t xml:space="preserve"> Ponderea cea mai mare din totalul </w:t>
      </w:r>
      <w:proofErr w:type="spellStart"/>
      <w:r w:rsidRPr="00644D4E">
        <w:rPr>
          <w:rFonts w:ascii="Times New Roman" w:eastAsia="Times New Roman" w:hAnsi="Times New Roman" w:cs="Times New Roman"/>
          <w:sz w:val="24"/>
          <w:szCs w:val="24"/>
          <w:lang w:val="ro-RO" w:eastAsia="ru-RU"/>
        </w:rPr>
        <w:t>şomerilor</w:t>
      </w:r>
      <w:proofErr w:type="spellEnd"/>
      <w:r w:rsidRPr="00644D4E">
        <w:rPr>
          <w:rFonts w:ascii="Times New Roman" w:eastAsia="Times New Roman" w:hAnsi="Times New Roman" w:cs="Times New Roman"/>
          <w:sz w:val="24"/>
          <w:szCs w:val="24"/>
          <w:lang w:val="ro-RO" w:eastAsia="ru-RU"/>
        </w:rPr>
        <w:t xml:space="preserve"> de lungă durată </w:t>
      </w:r>
      <w:r w:rsidRPr="00644D4E">
        <w:rPr>
          <w:rFonts w:ascii="Times New Roman" w:eastAsia="Times New Roman" w:hAnsi="Times New Roman" w:cs="Times New Roman"/>
          <w:b/>
          <w:sz w:val="24"/>
          <w:szCs w:val="24"/>
          <w:lang w:val="ro-RO" w:eastAsia="ru-RU"/>
        </w:rPr>
        <w:t>3,5</w:t>
      </w:r>
      <w:r w:rsidRPr="00644D4E">
        <w:rPr>
          <w:rFonts w:ascii="Times New Roman" w:eastAsia="Times New Roman" w:hAnsi="Times New Roman" w:cs="Times New Roman"/>
          <w:sz w:val="24"/>
          <w:szCs w:val="24"/>
          <w:lang w:val="ro-RO" w:eastAsia="ru-RU"/>
        </w:rPr>
        <w:t xml:space="preserve"> </w:t>
      </w:r>
      <w:r w:rsidRPr="00644D4E">
        <w:rPr>
          <w:rFonts w:ascii="Times New Roman" w:eastAsia="Times New Roman" w:hAnsi="Times New Roman" w:cs="Times New Roman"/>
          <w:b/>
          <w:sz w:val="24"/>
          <w:szCs w:val="24"/>
          <w:lang w:val="ro-RO" w:eastAsia="ru-RU"/>
        </w:rPr>
        <w:t>mii</w:t>
      </w:r>
      <w:r w:rsidRPr="00644D4E">
        <w:rPr>
          <w:rFonts w:ascii="Times New Roman" w:eastAsia="Times New Roman" w:hAnsi="Times New Roman" w:cs="Times New Roman"/>
          <w:sz w:val="24"/>
          <w:szCs w:val="24"/>
          <w:lang w:val="ro-RO" w:eastAsia="ru-RU"/>
        </w:rPr>
        <w:t xml:space="preserve"> persoane a </w:t>
      </w:r>
      <w:proofErr w:type="spellStart"/>
      <w:r w:rsidRPr="00644D4E">
        <w:rPr>
          <w:rFonts w:ascii="Times New Roman" w:eastAsia="Times New Roman" w:hAnsi="Times New Roman" w:cs="Times New Roman"/>
          <w:sz w:val="24"/>
          <w:szCs w:val="24"/>
          <w:lang w:val="ro-RO" w:eastAsia="ru-RU"/>
        </w:rPr>
        <w:t>constituit-o</w:t>
      </w:r>
      <w:proofErr w:type="spellEnd"/>
      <w:r w:rsidRPr="00644D4E">
        <w:rPr>
          <w:rFonts w:ascii="Times New Roman" w:eastAsia="Times New Roman" w:hAnsi="Times New Roman" w:cs="Times New Roman"/>
          <w:sz w:val="24"/>
          <w:szCs w:val="24"/>
          <w:lang w:val="ro-RO" w:eastAsia="ru-RU"/>
        </w:rPr>
        <w:t xml:space="preserve"> </w:t>
      </w:r>
      <w:proofErr w:type="spellStart"/>
      <w:r w:rsidRPr="00644D4E">
        <w:rPr>
          <w:rFonts w:ascii="Times New Roman" w:eastAsia="Times New Roman" w:hAnsi="Times New Roman" w:cs="Times New Roman"/>
          <w:sz w:val="24"/>
          <w:szCs w:val="24"/>
          <w:lang w:val="ro-RO" w:eastAsia="ru-RU"/>
        </w:rPr>
        <w:t>şomerii</w:t>
      </w:r>
      <w:proofErr w:type="spellEnd"/>
      <w:r w:rsidRPr="00644D4E">
        <w:rPr>
          <w:rFonts w:ascii="Times New Roman" w:eastAsia="Times New Roman" w:hAnsi="Times New Roman" w:cs="Times New Roman"/>
          <w:sz w:val="24"/>
          <w:szCs w:val="24"/>
          <w:lang w:val="ro-RO" w:eastAsia="ru-RU"/>
        </w:rPr>
        <w:t xml:space="preserve"> cu vârsta </w:t>
      </w:r>
      <w:r w:rsidR="00E76D93" w:rsidRPr="00644D4E">
        <w:rPr>
          <w:rFonts w:ascii="Times New Roman" w:eastAsia="Times New Roman" w:hAnsi="Times New Roman" w:cs="Times New Roman"/>
          <w:sz w:val="24"/>
          <w:szCs w:val="24"/>
          <w:lang w:val="ro-RO" w:eastAsia="ru-RU"/>
        </w:rPr>
        <w:t xml:space="preserve">de </w:t>
      </w:r>
      <w:r w:rsidRPr="00644D4E">
        <w:rPr>
          <w:rFonts w:ascii="Times New Roman" w:eastAsia="Times New Roman" w:hAnsi="Times New Roman" w:cs="Times New Roman"/>
          <w:sz w:val="24"/>
          <w:szCs w:val="24"/>
          <w:lang w:val="ro-RO" w:eastAsia="ru-RU"/>
        </w:rPr>
        <w:t xml:space="preserve">35-44 ani. </w:t>
      </w:r>
    </w:p>
    <w:p w14:paraId="4D870239" w14:textId="77777777" w:rsidR="006314F4" w:rsidRPr="00644D4E" w:rsidRDefault="006314F4" w:rsidP="00D0772B">
      <w:pPr>
        <w:shd w:val="clear" w:color="auto" w:fill="FFFFFF"/>
        <w:spacing w:after="60" w:line="240" w:lineRule="auto"/>
        <w:jc w:val="center"/>
        <w:rPr>
          <w:rFonts w:ascii="Times New Roman" w:eastAsia="Calibri" w:hAnsi="Times New Roman" w:cs="Times New Roman"/>
          <w:b/>
          <w:i/>
          <w:lang w:val="ro-RO"/>
        </w:rPr>
      </w:pPr>
      <w:r w:rsidRPr="00644D4E">
        <w:rPr>
          <w:rFonts w:ascii="Times New Roman" w:eastAsia="Calibri" w:hAnsi="Times New Roman" w:cs="Times New Roman"/>
          <w:b/>
          <w:i/>
          <w:lang w:val="ro-RO"/>
        </w:rPr>
        <w:t>Fig. 2.2.1.10. Distribuția șomerilor după durata șomajului,</w:t>
      </w:r>
      <w:r w:rsidR="00E76D93" w:rsidRPr="00644D4E">
        <w:rPr>
          <w:rFonts w:ascii="Times New Roman" w:eastAsia="Calibri" w:hAnsi="Times New Roman" w:cs="Times New Roman"/>
          <w:b/>
          <w:i/>
          <w:lang w:val="ro-RO"/>
        </w:rPr>
        <w:t xml:space="preserve"> </w:t>
      </w:r>
      <w:r w:rsidRPr="00644D4E">
        <w:rPr>
          <w:rFonts w:ascii="Times New Roman" w:eastAsia="Calibri" w:hAnsi="Times New Roman" w:cs="Times New Roman"/>
          <w:b/>
          <w:i/>
          <w:lang w:val="ro-RO"/>
        </w:rPr>
        <w:t xml:space="preserve">anii 2022 </w:t>
      </w:r>
      <w:proofErr w:type="spellStart"/>
      <w:r w:rsidRPr="00644D4E">
        <w:rPr>
          <w:rFonts w:ascii="Times New Roman" w:eastAsia="Calibri" w:hAnsi="Times New Roman" w:cs="Times New Roman"/>
          <w:b/>
          <w:i/>
          <w:lang w:val="ro-RO"/>
        </w:rPr>
        <w:t>şi</w:t>
      </w:r>
      <w:proofErr w:type="spellEnd"/>
      <w:r w:rsidRPr="00644D4E">
        <w:rPr>
          <w:rFonts w:ascii="Times New Roman" w:eastAsia="Calibri" w:hAnsi="Times New Roman" w:cs="Times New Roman"/>
          <w:b/>
          <w:i/>
          <w:lang w:val="ro-RO"/>
        </w:rPr>
        <w:t xml:space="preserve"> 2023, mii persoane</w:t>
      </w:r>
    </w:p>
    <w:p w14:paraId="4F6D2045" w14:textId="77777777" w:rsidR="006314F4" w:rsidRPr="00644D4E" w:rsidRDefault="006314F4" w:rsidP="00CC2AF0">
      <w:pPr>
        <w:shd w:val="clear" w:color="auto" w:fill="FFFFFF"/>
        <w:spacing w:after="60" w:line="240" w:lineRule="auto"/>
        <w:jc w:val="center"/>
        <w:rPr>
          <w:rFonts w:ascii="Times New Roman" w:eastAsia="Calibri" w:hAnsi="Times New Roman" w:cs="Times New Roman"/>
          <w:b/>
          <w:i/>
          <w:lang w:val="ro-RO"/>
        </w:rPr>
      </w:pPr>
      <w:r w:rsidRPr="00644D4E">
        <w:rPr>
          <w:lang w:val="ro-RO"/>
        </w:rPr>
        <w:drawing>
          <wp:inline distT="0" distB="0" distL="0" distR="0" wp14:anchorId="2F3C3BB6" wp14:editId="34CB8BBC">
            <wp:extent cx="4572000" cy="2743200"/>
            <wp:effectExtent l="0" t="0" r="0" b="0"/>
            <wp:docPr id="45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87BCF8F" w14:textId="77777777" w:rsidR="006314F4" w:rsidRPr="00644D4E" w:rsidRDefault="006314F4" w:rsidP="006314F4">
      <w:pPr>
        <w:shd w:val="clear" w:color="auto" w:fill="FFFFFF"/>
        <w:tabs>
          <w:tab w:val="left" w:pos="8820"/>
        </w:tabs>
        <w:spacing w:after="120" w:line="240" w:lineRule="auto"/>
        <w:rPr>
          <w:rFonts w:ascii="Times New Roman" w:eastAsia="Times New Roman" w:hAnsi="Times New Roman" w:cs="Times New Roman"/>
          <w:sz w:val="16"/>
          <w:szCs w:val="16"/>
          <w:lang w:val="ro-RO" w:eastAsia="ru-RU"/>
        </w:rPr>
      </w:pPr>
      <w:r w:rsidRPr="00644D4E">
        <w:rPr>
          <w:rFonts w:ascii="Times New Roman" w:eastAsia="Times New Roman" w:hAnsi="Times New Roman" w:cs="Times New Roman"/>
          <w:sz w:val="16"/>
          <w:szCs w:val="16"/>
          <w:lang w:val="ro-RO" w:eastAsia="ru-RU"/>
        </w:rPr>
        <w:t xml:space="preserve">                              Sursa: BNS</w:t>
      </w:r>
    </w:p>
    <w:p w14:paraId="30D66848" w14:textId="77777777" w:rsidR="006314F4" w:rsidRPr="00644D4E" w:rsidRDefault="006314F4" w:rsidP="006314F4">
      <w:pPr>
        <w:pStyle w:val="Heading3"/>
        <w:spacing w:after="120"/>
        <w:rPr>
          <w:color w:val="auto"/>
        </w:rPr>
      </w:pPr>
      <w:bookmarkStart w:id="19" w:name="_Toc138064738"/>
      <w:bookmarkStart w:id="20" w:name="_Toc40707647"/>
      <w:r w:rsidRPr="00644D4E">
        <w:rPr>
          <w:color w:val="auto"/>
        </w:rPr>
        <w:t>2.2.2. Populația în afara forței de muncă.</w:t>
      </w:r>
      <w:bookmarkEnd w:id="19"/>
      <w:r w:rsidRPr="00644D4E">
        <w:rPr>
          <w:color w:val="auto"/>
        </w:rPr>
        <w:t xml:space="preserve"> </w:t>
      </w:r>
    </w:p>
    <w:bookmarkEnd w:id="20"/>
    <w:p w14:paraId="2C6B6900" w14:textId="77777777" w:rsidR="006314F4" w:rsidRPr="00644D4E" w:rsidRDefault="006314F4" w:rsidP="006314F4">
      <w:pPr>
        <w:jc w:val="both"/>
        <w:rPr>
          <w:rFonts w:ascii="Times New Roman" w:hAnsi="Times New Roman" w:cs="Times New Roman"/>
          <w:sz w:val="24"/>
          <w:szCs w:val="24"/>
          <w:lang w:val="ro-RO"/>
        </w:rPr>
      </w:pPr>
      <w:r w:rsidRPr="00644D4E">
        <w:rPr>
          <w:rFonts w:ascii="Times New Roman" w:hAnsi="Times New Roman" w:cs="Times New Roman"/>
          <w:sz w:val="24"/>
          <w:szCs w:val="24"/>
          <w:lang w:val="ro-RO"/>
        </w:rPr>
        <w:t xml:space="preserve">Populația în afara forței de muncă de 15 ani și peste, în anul 2023, a constituit </w:t>
      </w:r>
      <w:r w:rsidRPr="00644D4E">
        <w:rPr>
          <w:rFonts w:ascii="Times New Roman" w:hAnsi="Times New Roman" w:cs="Times New Roman"/>
          <w:b/>
          <w:sz w:val="24"/>
          <w:szCs w:val="24"/>
          <w:lang w:val="ro-RO"/>
        </w:rPr>
        <w:t>1129,9 mii</w:t>
      </w:r>
      <w:r w:rsidRPr="00644D4E">
        <w:rPr>
          <w:rFonts w:ascii="Times New Roman" w:hAnsi="Times New Roman" w:cs="Times New Roman"/>
          <w:sz w:val="24"/>
          <w:szCs w:val="24"/>
          <w:lang w:val="ro-RO"/>
        </w:rPr>
        <w:t xml:space="preserve"> persoane sau </w:t>
      </w:r>
      <w:r w:rsidRPr="00644D4E">
        <w:rPr>
          <w:rFonts w:ascii="Times New Roman" w:hAnsi="Times New Roman" w:cs="Times New Roman"/>
          <w:b/>
          <w:sz w:val="24"/>
          <w:szCs w:val="24"/>
          <w:lang w:val="ro-RO"/>
        </w:rPr>
        <w:t>54,9%</w:t>
      </w:r>
      <w:r w:rsidRPr="00644D4E">
        <w:rPr>
          <w:rFonts w:ascii="Times New Roman" w:hAnsi="Times New Roman" w:cs="Times New Roman"/>
          <w:sz w:val="24"/>
          <w:szCs w:val="24"/>
          <w:lang w:val="ro-RO"/>
        </w:rPr>
        <w:t xml:space="preserve"> (rata de inactivitate) din totalul populației de aceeași categorie de vârstă,</w:t>
      </w:r>
      <w:r w:rsidR="00E76D93" w:rsidRPr="00644D4E">
        <w:rPr>
          <w:rFonts w:ascii="Times New Roman" w:hAnsi="Times New Roman" w:cs="Times New Roman"/>
          <w:sz w:val="24"/>
          <w:szCs w:val="24"/>
          <w:lang w:val="ro-RO"/>
        </w:rPr>
        <w:t xml:space="preserve"> </w:t>
      </w:r>
      <w:r w:rsidRPr="00644D4E">
        <w:rPr>
          <w:rFonts w:ascii="Times New Roman" w:hAnsi="Times New Roman" w:cs="Times New Roman"/>
          <w:sz w:val="24"/>
          <w:szCs w:val="24"/>
          <w:lang w:val="ro-RO"/>
        </w:rPr>
        <w:t>(în 2022, a constituit 1240,1 mii și respectiv, 58,2% din total populație). În funcție de sexe, ponderea femeilor (57,8%) a fost mai înaltă în comparație cu cea a bărbaților (42,2%), iar ponderea persoanelor inactive din mediul rural a fost mai mare ca ponderea din mediul urban (61,4% și, respectiv 38,6%).</w:t>
      </w:r>
    </w:p>
    <w:p w14:paraId="2FA7EC7C" w14:textId="77777777" w:rsidR="006314F4" w:rsidRPr="00644D4E" w:rsidRDefault="006314F4" w:rsidP="00D0772B">
      <w:pPr>
        <w:shd w:val="clear" w:color="auto" w:fill="FFFFFF"/>
        <w:spacing w:after="60" w:line="240" w:lineRule="auto"/>
        <w:jc w:val="center"/>
        <w:rPr>
          <w:rFonts w:ascii="Times New Roman" w:eastAsia="Times New Roman" w:hAnsi="Times New Roman" w:cs="Times New Roman"/>
          <w:b/>
          <w:i/>
          <w:lang w:val="ro-RO" w:eastAsia="ru-RU"/>
        </w:rPr>
      </w:pPr>
      <w:r w:rsidRPr="00644D4E">
        <w:rPr>
          <w:rFonts w:ascii="Times New Roman" w:eastAsia="Times New Roman" w:hAnsi="Times New Roman" w:cs="Times New Roman"/>
          <w:b/>
          <w:i/>
          <w:lang w:val="ro-RO" w:eastAsia="ru-RU"/>
        </w:rPr>
        <w:t>Fig. 2.2.2.1. Populația în afara forței de muncă după categorii, anii 2022 și 2023, %</w:t>
      </w:r>
    </w:p>
    <w:p w14:paraId="58280F76" w14:textId="77777777" w:rsidR="006314F4" w:rsidRPr="00644D4E" w:rsidRDefault="006314F4" w:rsidP="00CC2AF0">
      <w:pPr>
        <w:spacing w:after="60" w:line="240" w:lineRule="auto"/>
        <w:contextualSpacing/>
        <w:jc w:val="both"/>
        <w:rPr>
          <w:rFonts w:ascii="Times New Roman" w:eastAsiaTheme="minorEastAsia" w:hAnsi="Times New Roman" w:cs="Times New Roman"/>
          <w:sz w:val="16"/>
          <w:szCs w:val="16"/>
          <w:lang w:val="ro-RO" w:eastAsia="ru-RU"/>
        </w:rPr>
      </w:pPr>
      <w:r w:rsidRPr="00644D4E">
        <w:rPr>
          <w:lang w:val="ro-RO"/>
        </w:rPr>
        <w:drawing>
          <wp:inline distT="0" distB="0" distL="0" distR="0" wp14:anchorId="7FBC843C" wp14:editId="7E29E2EF">
            <wp:extent cx="2962275" cy="2105025"/>
            <wp:effectExtent l="0" t="0" r="9525" b="9525"/>
            <wp:docPr id="45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644D4E">
        <w:rPr>
          <w:lang w:val="ro-RO"/>
        </w:rPr>
        <w:drawing>
          <wp:inline distT="0" distB="0" distL="0" distR="0" wp14:anchorId="27F3F5D1" wp14:editId="552A2AAA">
            <wp:extent cx="3133090" cy="2095500"/>
            <wp:effectExtent l="0" t="0" r="10160" b="0"/>
            <wp:docPr id="46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3E60779" w14:textId="77777777" w:rsidR="006314F4" w:rsidRPr="00644D4E" w:rsidRDefault="006314F4" w:rsidP="006314F4">
      <w:pPr>
        <w:shd w:val="clear" w:color="auto" w:fill="FFFFFF"/>
        <w:spacing w:after="120" w:line="240" w:lineRule="auto"/>
        <w:jc w:val="both"/>
        <w:rPr>
          <w:rFonts w:ascii="Times New Roman" w:eastAsiaTheme="minorEastAsia" w:hAnsi="Times New Roman" w:cs="Times New Roman"/>
          <w:sz w:val="24"/>
          <w:szCs w:val="24"/>
          <w:lang w:val="ro-RO" w:eastAsia="ru-RU"/>
        </w:rPr>
      </w:pPr>
      <w:r w:rsidRPr="00644D4E">
        <w:rPr>
          <w:rFonts w:ascii="Times New Roman" w:eastAsiaTheme="minorEastAsia" w:hAnsi="Times New Roman" w:cs="Times New Roman"/>
          <w:sz w:val="16"/>
          <w:szCs w:val="16"/>
          <w:lang w:val="ro-RO" w:eastAsia="ru-RU"/>
        </w:rPr>
        <w:t>Sursa: BNS</w:t>
      </w:r>
      <w:r w:rsidRPr="00644D4E">
        <w:rPr>
          <w:rFonts w:ascii="Times New Roman" w:eastAsiaTheme="minorEastAsia" w:hAnsi="Times New Roman" w:cs="Times New Roman"/>
          <w:sz w:val="24"/>
          <w:szCs w:val="24"/>
          <w:lang w:val="ro-RO" w:eastAsia="ru-RU"/>
        </w:rPr>
        <w:t xml:space="preserve"> </w:t>
      </w:r>
    </w:p>
    <w:p w14:paraId="3675BFD2" w14:textId="6E853CDB" w:rsidR="006314F4" w:rsidRPr="00644D4E" w:rsidRDefault="006314F4" w:rsidP="000E4FEC">
      <w:pPr>
        <w:shd w:val="clear" w:color="auto" w:fill="FFFFFF"/>
        <w:spacing w:after="0" w:line="240" w:lineRule="auto"/>
        <w:jc w:val="both"/>
        <w:rPr>
          <w:rFonts w:ascii="Times New Roman" w:eastAsia="Times New Roman" w:hAnsi="Times New Roman" w:cs="Times New Roman"/>
          <w:sz w:val="24"/>
          <w:szCs w:val="24"/>
          <w:lang w:val="ro-RO" w:eastAsia="ru-RU"/>
        </w:rPr>
      </w:pPr>
      <w:r w:rsidRPr="00644D4E">
        <w:rPr>
          <w:rFonts w:ascii="Times New Roman" w:eastAsiaTheme="minorEastAsia" w:hAnsi="Times New Roman" w:cs="Times New Roman"/>
          <w:sz w:val="24"/>
          <w:szCs w:val="24"/>
          <w:lang w:val="ro-RO" w:eastAsia="ru-RU"/>
        </w:rPr>
        <w:t xml:space="preserve">Repartizarea persoanelor inactive de 15 ani și peste pe categorii de inactivitate arată că </w:t>
      </w:r>
      <w:r w:rsidRPr="00644D4E">
        <w:rPr>
          <w:rFonts w:ascii="Times New Roman" w:eastAsia="Times New Roman" w:hAnsi="Times New Roman" w:cs="Times New Roman"/>
          <w:sz w:val="24"/>
          <w:szCs w:val="24"/>
          <w:lang w:val="ro-RO" w:eastAsia="ru-RU"/>
        </w:rPr>
        <w:t xml:space="preserve">cea mai mare pondere, peste </w:t>
      </w:r>
      <w:r w:rsidRPr="00644D4E">
        <w:rPr>
          <w:rFonts w:ascii="Times New Roman" w:eastAsia="Times New Roman" w:hAnsi="Times New Roman" w:cs="Times New Roman"/>
          <w:b/>
          <w:sz w:val="24"/>
          <w:szCs w:val="24"/>
          <w:lang w:val="ro-RO" w:eastAsia="ru-RU"/>
        </w:rPr>
        <w:t>49,6%</w:t>
      </w:r>
      <w:r w:rsidRPr="00644D4E">
        <w:rPr>
          <w:rFonts w:ascii="Times New Roman" w:eastAsia="Times New Roman" w:hAnsi="Times New Roman" w:cs="Times New Roman"/>
          <w:sz w:val="24"/>
          <w:szCs w:val="24"/>
          <w:lang w:val="ro-RO" w:eastAsia="ru-RU"/>
        </w:rPr>
        <w:t>, revine categoriei de </w:t>
      </w:r>
      <w:r w:rsidRPr="00644D4E">
        <w:rPr>
          <w:rFonts w:ascii="Times New Roman" w:eastAsia="Times New Roman" w:hAnsi="Times New Roman" w:cs="Times New Roman"/>
          <w:b/>
          <w:iCs/>
          <w:sz w:val="24"/>
          <w:szCs w:val="24"/>
          <w:lang w:val="ro-RO" w:eastAsia="ru-RU"/>
        </w:rPr>
        <w:t>pensionari</w:t>
      </w:r>
      <w:r w:rsidRPr="00644D4E">
        <w:rPr>
          <w:rFonts w:ascii="Times New Roman" w:eastAsia="Times New Roman" w:hAnsi="Times New Roman" w:cs="Times New Roman"/>
          <w:sz w:val="24"/>
          <w:szCs w:val="24"/>
          <w:lang w:val="ro-RO" w:eastAsia="ru-RU"/>
        </w:rPr>
        <w:t>. Aceștia sunt urmați de grupul</w:t>
      </w:r>
      <w:r w:rsidRPr="00644D4E">
        <w:rPr>
          <w:rFonts w:ascii="Times New Roman" w:eastAsia="Times New Roman" w:hAnsi="Times New Roman" w:cs="Times New Roman"/>
          <w:i/>
          <w:iCs/>
          <w:sz w:val="24"/>
          <w:szCs w:val="24"/>
          <w:lang w:val="ro-RO" w:eastAsia="ru-RU"/>
        </w:rPr>
        <w:t> </w:t>
      </w:r>
      <w:r w:rsidRPr="00644D4E">
        <w:rPr>
          <w:rFonts w:ascii="Times New Roman" w:eastAsia="Times New Roman" w:hAnsi="Times New Roman" w:cs="Times New Roman"/>
          <w:b/>
          <w:bCs/>
          <w:sz w:val="24"/>
          <w:szCs w:val="24"/>
          <w:lang w:val="ro-RO" w:eastAsia="ru-RU"/>
        </w:rPr>
        <w:t>elevilor și studenților</w:t>
      </w:r>
      <w:r w:rsidRPr="00644D4E">
        <w:rPr>
          <w:rFonts w:ascii="Times New Roman" w:eastAsia="Times New Roman" w:hAnsi="Times New Roman" w:cs="Times New Roman"/>
          <w:i/>
          <w:iCs/>
          <w:sz w:val="24"/>
          <w:szCs w:val="24"/>
          <w:lang w:val="ro-RO" w:eastAsia="ru-RU"/>
        </w:rPr>
        <w:t> </w:t>
      </w:r>
      <w:r w:rsidRPr="00644D4E">
        <w:rPr>
          <w:rFonts w:ascii="Times New Roman" w:eastAsia="Times New Roman" w:hAnsi="Times New Roman" w:cs="Times New Roman"/>
          <w:sz w:val="24"/>
          <w:szCs w:val="24"/>
          <w:lang w:val="ro-RO" w:eastAsia="ru-RU"/>
        </w:rPr>
        <w:t>(13,7%) și grupul </w:t>
      </w:r>
      <w:r w:rsidRPr="00644D4E">
        <w:rPr>
          <w:rFonts w:ascii="Times New Roman" w:eastAsia="Times New Roman" w:hAnsi="Times New Roman" w:cs="Times New Roman"/>
          <w:b/>
          <w:bCs/>
          <w:sz w:val="24"/>
          <w:szCs w:val="24"/>
          <w:lang w:val="ro-RO" w:eastAsia="ru-RU"/>
        </w:rPr>
        <w:t>persoanelor care îngrijesc de familie</w:t>
      </w:r>
      <w:r w:rsidRPr="00644D4E">
        <w:rPr>
          <w:rFonts w:ascii="Times New Roman" w:eastAsia="Times New Roman" w:hAnsi="Times New Roman" w:cs="Times New Roman"/>
          <w:i/>
          <w:iCs/>
          <w:sz w:val="24"/>
          <w:szCs w:val="24"/>
          <w:lang w:val="ro-RO" w:eastAsia="ru-RU"/>
        </w:rPr>
        <w:t> (</w:t>
      </w:r>
      <w:r w:rsidRPr="00644D4E">
        <w:rPr>
          <w:rFonts w:ascii="Times New Roman" w:eastAsia="Times New Roman" w:hAnsi="Times New Roman" w:cs="Times New Roman"/>
          <w:iCs/>
          <w:sz w:val="24"/>
          <w:szCs w:val="24"/>
          <w:lang w:val="ro-RO" w:eastAsia="ru-RU"/>
        </w:rPr>
        <w:t xml:space="preserve">persoanele casnice </w:t>
      </w:r>
      <w:r w:rsidRPr="00644D4E">
        <w:rPr>
          <w:rFonts w:ascii="Times New Roman" w:eastAsia="Times New Roman" w:hAnsi="Times New Roman" w:cs="Times New Roman"/>
          <w:sz w:val="24"/>
          <w:szCs w:val="24"/>
          <w:lang w:val="ro-RO" w:eastAsia="ru-RU"/>
        </w:rPr>
        <w:t>12,2%). În rândul altor persoane inactive se mai regăsesc persoanele care nu lucrează și nu caută un loc de muncă în Moldova, deoarece </w:t>
      </w:r>
      <w:r w:rsidRPr="00644D4E">
        <w:rPr>
          <w:rFonts w:ascii="Times New Roman" w:eastAsia="Times New Roman" w:hAnsi="Times New Roman" w:cs="Times New Roman"/>
          <w:b/>
          <w:bCs/>
          <w:sz w:val="24"/>
          <w:szCs w:val="24"/>
          <w:lang w:val="ro-RO" w:eastAsia="ru-RU"/>
        </w:rPr>
        <w:t>au un loc de muncă peste hotare sau care planifică să lucreze peste hotare</w:t>
      </w:r>
      <w:r w:rsidRPr="00644D4E">
        <w:rPr>
          <w:rFonts w:ascii="Times New Roman" w:eastAsia="Times New Roman" w:hAnsi="Times New Roman" w:cs="Times New Roman"/>
          <w:b/>
          <w:sz w:val="24"/>
          <w:szCs w:val="24"/>
          <w:lang w:val="ro-RO" w:eastAsia="ru-RU"/>
        </w:rPr>
        <w:t> </w:t>
      </w:r>
      <w:r w:rsidRPr="00644D4E">
        <w:rPr>
          <w:rFonts w:ascii="Times New Roman" w:eastAsia="Times New Roman" w:hAnsi="Times New Roman" w:cs="Times New Roman"/>
          <w:sz w:val="24"/>
          <w:szCs w:val="24"/>
          <w:lang w:val="ro-RO" w:eastAsia="ru-RU"/>
        </w:rPr>
        <w:t>(8,8% comparativ cu 10,2% în 2022). Un alt grup îl formează persoanele (declarate de gospodării) ca fiind </w:t>
      </w:r>
      <w:r w:rsidRPr="00644D4E">
        <w:rPr>
          <w:rFonts w:ascii="Times New Roman" w:eastAsia="Times New Roman" w:hAnsi="Times New Roman" w:cs="Times New Roman"/>
          <w:b/>
          <w:bCs/>
          <w:sz w:val="24"/>
          <w:szCs w:val="24"/>
          <w:lang w:val="ro-RO" w:eastAsia="ru-RU"/>
        </w:rPr>
        <w:t>plecate peste hotare la lucru sau în căutare de lucru pentru o perioadă mai mică de un an</w:t>
      </w:r>
      <w:r w:rsidRPr="00644D4E">
        <w:rPr>
          <w:rFonts w:ascii="Times New Roman" w:eastAsia="Times New Roman" w:hAnsi="Times New Roman" w:cs="Times New Roman"/>
          <w:sz w:val="24"/>
          <w:szCs w:val="24"/>
          <w:lang w:val="ro-RO" w:eastAsia="ru-RU"/>
        </w:rPr>
        <w:t xml:space="preserve"> (7,3% sau 82,9 mii), numărul celor din urmă fiind în descreștere cu 2 </w:t>
      </w:r>
      <w:proofErr w:type="spellStart"/>
      <w:r w:rsidRPr="00644D4E">
        <w:rPr>
          <w:rFonts w:ascii="Times New Roman" w:eastAsia="Times New Roman" w:hAnsi="Times New Roman" w:cs="Times New Roman"/>
          <w:sz w:val="24"/>
          <w:szCs w:val="24"/>
          <w:lang w:val="ro-RO" w:eastAsia="ru-RU"/>
        </w:rPr>
        <w:t>p.p</w:t>
      </w:r>
      <w:proofErr w:type="spellEnd"/>
      <w:r w:rsidRPr="00644D4E">
        <w:rPr>
          <w:rFonts w:ascii="Times New Roman" w:eastAsia="Times New Roman" w:hAnsi="Times New Roman" w:cs="Times New Roman"/>
          <w:sz w:val="24"/>
          <w:szCs w:val="24"/>
          <w:lang w:val="ro-RO" w:eastAsia="ru-RU"/>
        </w:rPr>
        <w:t xml:space="preserve">  față de anul 2022 (respectiv 7,5% sau 93,0 mii). Restul este format din alte categorii de populație în afara forței de muncă (Figura 2.2.2.1)</w:t>
      </w:r>
      <w:r w:rsidRPr="00644D4E">
        <w:rPr>
          <w:rFonts w:ascii="Arial" w:eastAsia="Times New Roman" w:hAnsi="Arial" w:cs="Arial"/>
          <w:sz w:val="18"/>
          <w:szCs w:val="18"/>
          <w:lang w:val="ro-RO" w:eastAsia="ru-RU"/>
        </w:rPr>
        <w:t xml:space="preserve">. </w:t>
      </w:r>
      <w:r w:rsidRPr="00644D4E">
        <w:rPr>
          <w:rFonts w:ascii="Times New Roman" w:eastAsia="Times New Roman" w:hAnsi="Times New Roman" w:cs="Times New Roman"/>
          <w:sz w:val="24"/>
          <w:szCs w:val="24"/>
          <w:lang w:val="ro-RO" w:eastAsia="ru-RU"/>
        </w:rPr>
        <w:t xml:space="preserve">În aspect de regiune </w:t>
      </w:r>
      <w:proofErr w:type="spellStart"/>
      <w:r w:rsidRPr="00644D4E">
        <w:rPr>
          <w:rFonts w:ascii="Times New Roman" w:eastAsia="Times New Roman" w:hAnsi="Times New Roman" w:cs="Times New Roman"/>
          <w:sz w:val="24"/>
          <w:szCs w:val="24"/>
          <w:lang w:val="ro-RO" w:eastAsia="ru-RU"/>
        </w:rPr>
        <w:t>populaţia</w:t>
      </w:r>
      <w:proofErr w:type="spellEnd"/>
      <w:r w:rsidRPr="00644D4E">
        <w:rPr>
          <w:rFonts w:ascii="Times New Roman" w:eastAsia="Times New Roman" w:hAnsi="Times New Roman" w:cs="Times New Roman"/>
          <w:sz w:val="24"/>
          <w:szCs w:val="24"/>
          <w:lang w:val="ro-RO" w:eastAsia="ru-RU"/>
        </w:rPr>
        <w:t xml:space="preserve"> în afara </w:t>
      </w:r>
      <w:proofErr w:type="spellStart"/>
      <w:r w:rsidRPr="00644D4E">
        <w:rPr>
          <w:rFonts w:ascii="Times New Roman" w:eastAsia="Times New Roman" w:hAnsi="Times New Roman" w:cs="Times New Roman"/>
          <w:sz w:val="24"/>
          <w:szCs w:val="24"/>
          <w:lang w:val="ro-RO" w:eastAsia="ru-RU"/>
        </w:rPr>
        <w:t>forţei</w:t>
      </w:r>
      <w:proofErr w:type="spellEnd"/>
      <w:r w:rsidRPr="00644D4E">
        <w:rPr>
          <w:rFonts w:ascii="Times New Roman" w:eastAsia="Times New Roman" w:hAnsi="Times New Roman" w:cs="Times New Roman"/>
          <w:sz w:val="24"/>
          <w:szCs w:val="24"/>
          <w:lang w:val="ro-RO" w:eastAsia="ru-RU"/>
        </w:rPr>
        <w:t xml:space="preserve"> de muncă denotă o </w:t>
      </w:r>
      <w:proofErr w:type="spellStart"/>
      <w:r w:rsidRPr="00644D4E">
        <w:rPr>
          <w:rFonts w:ascii="Times New Roman" w:eastAsia="Times New Roman" w:hAnsi="Times New Roman" w:cs="Times New Roman"/>
          <w:sz w:val="24"/>
          <w:szCs w:val="24"/>
          <w:lang w:val="ro-RO" w:eastAsia="ru-RU"/>
        </w:rPr>
        <w:t>descreştere</w:t>
      </w:r>
      <w:proofErr w:type="spellEnd"/>
      <w:r w:rsidRPr="00644D4E">
        <w:rPr>
          <w:rFonts w:ascii="Times New Roman" w:eastAsia="Times New Roman" w:hAnsi="Times New Roman" w:cs="Times New Roman"/>
          <w:sz w:val="24"/>
          <w:szCs w:val="24"/>
          <w:lang w:val="ro-RO" w:eastAsia="ru-RU"/>
        </w:rPr>
        <w:t xml:space="preserve"> </w:t>
      </w:r>
      <w:r w:rsidRPr="00644D4E">
        <w:rPr>
          <w:rFonts w:ascii="Times New Roman" w:eastAsia="Times New Roman" w:hAnsi="Times New Roman" w:cs="Times New Roman"/>
          <w:sz w:val="24"/>
          <w:szCs w:val="24"/>
          <w:lang w:val="ro-RO" w:eastAsia="ru-RU"/>
        </w:rPr>
        <w:lastRenderedPageBreak/>
        <w:t xml:space="preserve">comparativ cu anul precedent,  majoritatea fiind concentrată în zona Centru </w:t>
      </w:r>
      <w:proofErr w:type="spellStart"/>
      <w:r w:rsidRPr="00644D4E">
        <w:rPr>
          <w:rFonts w:ascii="Times New Roman" w:eastAsia="Times New Roman" w:hAnsi="Times New Roman" w:cs="Times New Roman"/>
          <w:sz w:val="24"/>
          <w:szCs w:val="24"/>
          <w:lang w:val="ro-RO" w:eastAsia="ru-RU"/>
        </w:rPr>
        <w:t>şi</w:t>
      </w:r>
      <w:proofErr w:type="spellEnd"/>
      <w:r w:rsidRPr="00644D4E">
        <w:rPr>
          <w:rFonts w:ascii="Times New Roman" w:eastAsia="Times New Roman" w:hAnsi="Times New Roman" w:cs="Times New Roman"/>
          <w:sz w:val="24"/>
          <w:szCs w:val="24"/>
          <w:lang w:val="ro-RO" w:eastAsia="ru-RU"/>
        </w:rPr>
        <w:t xml:space="preserve"> mun. </w:t>
      </w:r>
      <w:proofErr w:type="spellStart"/>
      <w:r w:rsidRPr="00644D4E">
        <w:rPr>
          <w:rFonts w:ascii="Times New Roman" w:eastAsia="Times New Roman" w:hAnsi="Times New Roman" w:cs="Times New Roman"/>
          <w:sz w:val="24"/>
          <w:szCs w:val="24"/>
          <w:lang w:val="ro-RO" w:eastAsia="ru-RU"/>
        </w:rPr>
        <w:t>Chişinău</w:t>
      </w:r>
      <w:proofErr w:type="spellEnd"/>
      <w:r w:rsidRPr="00644D4E">
        <w:rPr>
          <w:rFonts w:ascii="Times New Roman" w:eastAsia="Times New Roman" w:hAnsi="Times New Roman" w:cs="Times New Roman"/>
          <w:sz w:val="24"/>
          <w:szCs w:val="24"/>
          <w:lang w:val="ro-RO" w:eastAsia="ru-RU"/>
        </w:rPr>
        <w:t xml:space="preserve"> (Figura 2.2.2.2). </w:t>
      </w:r>
    </w:p>
    <w:p w14:paraId="5E4CBE1E" w14:textId="77777777" w:rsidR="006314F4" w:rsidRPr="00644D4E" w:rsidRDefault="006314F4" w:rsidP="00D0772B">
      <w:pPr>
        <w:shd w:val="clear" w:color="auto" w:fill="FFFFFF"/>
        <w:spacing w:after="60" w:line="240" w:lineRule="auto"/>
        <w:jc w:val="center"/>
        <w:rPr>
          <w:rFonts w:ascii="Times New Roman" w:eastAsia="Times New Roman" w:hAnsi="Times New Roman" w:cs="Times New Roman"/>
          <w:b/>
          <w:i/>
          <w:lang w:val="ro-RO" w:eastAsia="ru-RU"/>
        </w:rPr>
      </w:pPr>
      <w:r w:rsidRPr="00644D4E">
        <w:rPr>
          <w:rFonts w:ascii="Times New Roman" w:eastAsia="Times New Roman" w:hAnsi="Times New Roman" w:cs="Times New Roman"/>
          <w:b/>
          <w:i/>
          <w:lang w:val="ro-RO" w:eastAsia="ru-RU"/>
        </w:rPr>
        <w:t>Fig. 2.2.2.2. Populația în afara forței de muncă pe regiuni statistice, anii 2022 și 2023, %</w:t>
      </w:r>
    </w:p>
    <w:p w14:paraId="41267524" w14:textId="77777777" w:rsidR="006314F4" w:rsidRPr="00644D4E" w:rsidRDefault="006314F4" w:rsidP="00CC2AF0">
      <w:pPr>
        <w:shd w:val="clear" w:color="auto" w:fill="FFFFFF"/>
        <w:spacing w:after="60" w:line="240" w:lineRule="auto"/>
        <w:jc w:val="center"/>
        <w:rPr>
          <w:rFonts w:ascii="Times New Roman" w:eastAsia="Times New Roman" w:hAnsi="Times New Roman" w:cs="Times New Roman"/>
          <w:b/>
          <w:i/>
          <w:lang w:val="ro-RO" w:eastAsia="ru-RU"/>
        </w:rPr>
      </w:pPr>
      <w:r w:rsidRPr="00644D4E">
        <w:rPr>
          <w:lang w:val="ro-RO"/>
        </w:rPr>
        <w:drawing>
          <wp:inline distT="0" distB="0" distL="0" distR="0" wp14:anchorId="4DB3B07F" wp14:editId="0186D1D4">
            <wp:extent cx="4572000" cy="2314575"/>
            <wp:effectExtent l="0" t="0" r="0" b="9525"/>
            <wp:docPr id="461"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B68C3A9" w14:textId="77777777" w:rsidR="006314F4" w:rsidRPr="00644D4E" w:rsidRDefault="006314F4" w:rsidP="006314F4">
      <w:pPr>
        <w:spacing w:after="120" w:line="240" w:lineRule="auto"/>
        <w:rPr>
          <w:rFonts w:ascii="Times New Roman" w:hAnsi="Times New Roman" w:cs="Times New Roman"/>
          <w:b/>
          <w:i/>
          <w:sz w:val="24"/>
          <w:szCs w:val="24"/>
          <w:lang w:val="ro-RO"/>
        </w:rPr>
      </w:pPr>
      <w:r w:rsidRPr="00644D4E">
        <w:rPr>
          <w:rFonts w:ascii="Times New Roman" w:hAnsi="Times New Roman" w:cs="Times New Roman"/>
          <w:sz w:val="16"/>
          <w:szCs w:val="16"/>
          <w:lang w:val="ro-RO"/>
        </w:rPr>
        <w:t xml:space="preserve">                              Sursa: BNS</w:t>
      </w:r>
    </w:p>
    <w:p w14:paraId="7D272593" w14:textId="77777777" w:rsidR="006314F4" w:rsidRPr="00644D4E" w:rsidRDefault="006314F4" w:rsidP="006314F4">
      <w:pPr>
        <w:pStyle w:val="Heading3"/>
        <w:spacing w:after="120"/>
        <w:rPr>
          <w:color w:val="auto"/>
          <w:sz w:val="26"/>
          <w:szCs w:val="26"/>
        </w:rPr>
      </w:pPr>
      <w:bookmarkStart w:id="21" w:name="_Toc138064739"/>
      <w:bookmarkStart w:id="22" w:name="_Toc40707648"/>
      <w:r w:rsidRPr="00644D4E">
        <w:rPr>
          <w:color w:val="auto"/>
        </w:rPr>
        <w:t>2.2.3. Tinerii NEET.</w:t>
      </w:r>
      <w:bookmarkEnd w:id="21"/>
      <w:r w:rsidRPr="00644D4E">
        <w:rPr>
          <w:color w:val="auto"/>
          <w:sz w:val="26"/>
          <w:szCs w:val="26"/>
        </w:rPr>
        <w:t xml:space="preserve"> </w:t>
      </w:r>
      <w:bookmarkEnd w:id="22"/>
    </w:p>
    <w:p w14:paraId="61D969EB" w14:textId="2E57C70C" w:rsidR="006314F4" w:rsidRPr="00644D4E" w:rsidRDefault="006314F4" w:rsidP="006314F4">
      <w:pPr>
        <w:spacing w:after="120" w:line="240" w:lineRule="auto"/>
        <w:jc w:val="both"/>
        <w:rPr>
          <w:rFonts w:ascii="Times New Roman" w:eastAsiaTheme="minorEastAsia" w:hAnsi="Times New Roman" w:cs="Times New Roman"/>
          <w:sz w:val="24"/>
          <w:szCs w:val="24"/>
          <w:shd w:val="clear" w:color="auto" w:fill="FFFFFF"/>
          <w:lang w:val="ro-RO" w:eastAsia="ru-RU"/>
        </w:rPr>
      </w:pPr>
      <w:r w:rsidRPr="00644D4E">
        <w:rPr>
          <w:rFonts w:ascii="Times New Roman" w:eastAsiaTheme="minorEastAsia" w:hAnsi="Times New Roman" w:cs="Times New Roman"/>
          <w:sz w:val="24"/>
          <w:szCs w:val="24"/>
          <w:lang w:val="ro-RO" w:eastAsia="ru-RU"/>
        </w:rPr>
        <w:t xml:space="preserve">Un indicator foarte important în analiza </w:t>
      </w:r>
      <w:proofErr w:type="spellStart"/>
      <w:r w:rsidRPr="00644D4E">
        <w:rPr>
          <w:rFonts w:ascii="Times New Roman" w:eastAsiaTheme="minorEastAsia" w:hAnsi="Times New Roman" w:cs="Times New Roman"/>
          <w:sz w:val="24"/>
          <w:szCs w:val="24"/>
          <w:lang w:val="ro-RO" w:eastAsia="ru-RU"/>
        </w:rPr>
        <w:t>pieţei</w:t>
      </w:r>
      <w:proofErr w:type="spellEnd"/>
      <w:r w:rsidRPr="00644D4E">
        <w:rPr>
          <w:rFonts w:ascii="Times New Roman" w:eastAsiaTheme="minorEastAsia" w:hAnsi="Times New Roman" w:cs="Times New Roman"/>
          <w:sz w:val="24"/>
          <w:szCs w:val="24"/>
          <w:lang w:val="ro-RO" w:eastAsia="ru-RU"/>
        </w:rPr>
        <w:t xml:space="preserve"> muncii este categoria tinerilor NEET (tinerii care nu sunt angajați și nici nu sunt cuprinși în procesul de învățământ sau de instruire). Î</w:t>
      </w:r>
      <w:r w:rsidRPr="00644D4E">
        <w:rPr>
          <w:rFonts w:ascii="Times New Roman" w:eastAsiaTheme="minorEastAsia" w:hAnsi="Times New Roman" w:cs="Times New Roman"/>
          <w:sz w:val="24"/>
          <w:szCs w:val="24"/>
          <w:shd w:val="clear" w:color="auto" w:fill="FFFFFF"/>
          <w:lang w:val="ro-RO" w:eastAsia="ru-RU"/>
        </w:rPr>
        <w:t xml:space="preserve">n anul 2023, numărul </w:t>
      </w:r>
      <w:r w:rsidRPr="00644D4E">
        <w:rPr>
          <w:rFonts w:ascii="Times New Roman" w:eastAsiaTheme="minorEastAsia" w:hAnsi="Times New Roman" w:cs="Times New Roman"/>
          <w:bCs/>
          <w:sz w:val="24"/>
          <w:szCs w:val="24"/>
          <w:shd w:val="clear" w:color="auto" w:fill="FFFFFF"/>
          <w:lang w:val="ro-RO" w:eastAsia="ru-RU"/>
        </w:rPr>
        <w:t>tinerilor NEET</w:t>
      </w:r>
      <w:r w:rsidRPr="00644D4E">
        <w:rPr>
          <w:rFonts w:ascii="Times New Roman" w:eastAsiaTheme="minorEastAsia" w:hAnsi="Times New Roman" w:cs="Times New Roman"/>
          <w:sz w:val="24"/>
          <w:szCs w:val="24"/>
          <w:shd w:val="clear" w:color="auto" w:fill="FFFFFF"/>
          <w:lang w:val="ro-RO" w:eastAsia="ru-RU"/>
        </w:rPr>
        <w:t xml:space="preserve"> a constituit </w:t>
      </w:r>
      <w:r w:rsidRPr="00644D4E">
        <w:rPr>
          <w:rFonts w:ascii="Times New Roman" w:eastAsiaTheme="minorEastAsia" w:hAnsi="Times New Roman" w:cs="Times New Roman"/>
          <w:b/>
          <w:sz w:val="24"/>
          <w:szCs w:val="24"/>
          <w:shd w:val="clear" w:color="auto" w:fill="FFFFFF"/>
          <w:lang w:val="ro-RO" w:eastAsia="ru-RU"/>
        </w:rPr>
        <w:t>161,6 mii</w:t>
      </w:r>
      <w:r w:rsidRPr="00644D4E">
        <w:rPr>
          <w:rFonts w:ascii="Times New Roman" w:eastAsiaTheme="minorEastAsia" w:hAnsi="Times New Roman" w:cs="Times New Roman"/>
          <w:sz w:val="24"/>
          <w:szCs w:val="24"/>
          <w:shd w:val="clear" w:color="auto" w:fill="FFFFFF"/>
          <w:lang w:val="ro-RO" w:eastAsia="ru-RU"/>
        </w:rPr>
        <w:t xml:space="preserve"> persoane din care </w:t>
      </w:r>
      <w:r w:rsidRPr="00644D4E">
        <w:rPr>
          <w:rFonts w:ascii="Times New Roman" w:eastAsiaTheme="minorEastAsia" w:hAnsi="Times New Roman" w:cs="Times New Roman"/>
          <w:b/>
          <w:sz w:val="24"/>
          <w:szCs w:val="24"/>
          <w:shd w:val="clear" w:color="auto" w:fill="FFFFFF"/>
          <w:lang w:val="ro-RO" w:eastAsia="ru-RU"/>
        </w:rPr>
        <w:t>13,8%</w:t>
      </w:r>
      <w:r w:rsidRPr="00644D4E">
        <w:rPr>
          <w:rFonts w:ascii="Times New Roman" w:eastAsiaTheme="minorEastAsia" w:hAnsi="Times New Roman" w:cs="Times New Roman"/>
          <w:sz w:val="24"/>
          <w:szCs w:val="24"/>
          <w:shd w:val="clear" w:color="auto" w:fill="FFFFFF"/>
          <w:lang w:val="ro-RO" w:eastAsia="ru-RU"/>
        </w:rPr>
        <w:t xml:space="preserve"> erau din rândul tinerilor cu vârsta de 15-24 ani, </w:t>
      </w:r>
      <w:r w:rsidRPr="00644D4E">
        <w:rPr>
          <w:rFonts w:ascii="Times New Roman" w:eastAsiaTheme="minorEastAsia" w:hAnsi="Times New Roman" w:cs="Times New Roman"/>
          <w:b/>
          <w:sz w:val="24"/>
          <w:szCs w:val="24"/>
          <w:shd w:val="clear" w:color="auto" w:fill="FFFFFF"/>
          <w:lang w:val="ro-RO" w:eastAsia="ru-RU"/>
        </w:rPr>
        <w:t>23,1%</w:t>
      </w:r>
      <w:r w:rsidRPr="00644D4E">
        <w:rPr>
          <w:rFonts w:ascii="Times New Roman" w:eastAsiaTheme="minorEastAsia" w:hAnsi="Times New Roman" w:cs="Times New Roman"/>
          <w:sz w:val="24"/>
          <w:szCs w:val="24"/>
          <w:shd w:val="clear" w:color="auto" w:fill="FFFFFF"/>
          <w:lang w:val="ro-RO" w:eastAsia="ru-RU"/>
        </w:rPr>
        <w:t xml:space="preserve"> din rândul tinerilor de 15-29 ani și respectiv </w:t>
      </w:r>
      <w:r w:rsidRPr="00644D4E">
        <w:rPr>
          <w:rFonts w:ascii="Times New Roman" w:eastAsiaTheme="minorEastAsia" w:hAnsi="Times New Roman" w:cs="Times New Roman"/>
          <w:b/>
          <w:sz w:val="24"/>
          <w:szCs w:val="24"/>
          <w:shd w:val="clear" w:color="auto" w:fill="FFFFFF"/>
          <w:lang w:val="ro-RO" w:eastAsia="ru-RU"/>
        </w:rPr>
        <w:t>27,6%</w:t>
      </w:r>
      <w:r w:rsidRPr="00644D4E">
        <w:rPr>
          <w:rFonts w:ascii="Times New Roman" w:eastAsiaTheme="minorEastAsia" w:hAnsi="Times New Roman" w:cs="Times New Roman"/>
          <w:sz w:val="24"/>
          <w:szCs w:val="24"/>
          <w:shd w:val="clear" w:color="auto" w:fill="FFFFFF"/>
          <w:lang w:val="ro-RO" w:eastAsia="ru-RU"/>
        </w:rPr>
        <w:t xml:space="preserve"> din rândul celor de 15-34 ani. Comparativ cu anul 2022, acest indicator s-a micșorat pentru toate vârstele</w:t>
      </w:r>
      <w:r w:rsidR="00D26240" w:rsidRPr="00644D4E">
        <w:rPr>
          <w:rFonts w:ascii="Times New Roman" w:eastAsiaTheme="minorEastAsia" w:hAnsi="Times New Roman" w:cs="Times New Roman"/>
          <w:sz w:val="24"/>
          <w:szCs w:val="24"/>
          <w:shd w:val="clear" w:color="auto" w:fill="FFFFFF"/>
          <w:lang w:val="ro-RO" w:eastAsia="ru-RU"/>
        </w:rPr>
        <w:t xml:space="preserve"> </w:t>
      </w:r>
      <w:r w:rsidRPr="00644D4E">
        <w:rPr>
          <w:rFonts w:ascii="Times New Roman" w:eastAsiaTheme="minorEastAsia" w:hAnsi="Times New Roman" w:cs="Times New Roman"/>
          <w:sz w:val="24"/>
          <w:szCs w:val="24"/>
          <w:shd w:val="clear" w:color="auto" w:fill="FFFFFF"/>
          <w:lang w:val="ro-RO" w:eastAsia="ru-RU"/>
        </w:rPr>
        <w:t>(Figura 2.2.3.1).</w:t>
      </w:r>
    </w:p>
    <w:p w14:paraId="6CC13D67" w14:textId="77777777" w:rsidR="006314F4" w:rsidRPr="00644D4E" w:rsidRDefault="006314F4" w:rsidP="00D0772B">
      <w:pPr>
        <w:spacing w:after="60" w:line="240" w:lineRule="auto"/>
        <w:jc w:val="center"/>
        <w:rPr>
          <w:rFonts w:ascii="Times New Roman" w:eastAsiaTheme="minorEastAsia" w:hAnsi="Times New Roman" w:cs="Times New Roman"/>
          <w:b/>
          <w:i/>
          <w:shd w:val="clear" w:color="auto" w:fill="FFFFFF"/>
          <w:lang w:val="ro-RO" w:eastAsia="ru-RU"/>
        </w:rPr>
      </w:pPr>
      <w:r w:rsidRPr="00644D4E">
        <w:rPr>
          <w:rFonts w:ascii="Times New Roman" w:eastAsiaTheme="minorEastAsia" w:hAnsi="Times New Roman" w:cs="Times New Roman"/>
          <w:b/>
          <w:i/>
          <w:shd w:val="clear" w:color="auto" w:fill="FFFFFF"/>
          <w:lang w:val="ro-RO" w:eastAsia="ru-RU"/>
        </w:rPr>
        <w:t>Fig. 2.2.3.1. Ponderea tinerilor NEET pe grupe de vârstă și sexe, anii 2022 și 2023, mii persoane</w:t>
      </w:r>
    </w:p>
    <w:p w14:paraId="4C5D7AE0" w14:textId="77777777" w:rsidR="006314F4" w:rsidRPr="00644D4E" w:rsidRDefault="006314F4" w:rsidP="00CC2AF0">
      <w:pPr>
        <w:spacing w:after="60" w:line="240" w:lineRule="auto"/>
        <w:jc w:val="center"/>
        <w:rPr>
          <w:rFonts w:ascii="Times New Roman" w:eastAsiaTheme="minorEastAsia" w:hAnsi="Times New Roman" w:cs="Times New Roman"/>
          <w:b/>
          <w:i/>
          <w:shd w:val="clear" w:color="auto" w:fill="FFFFFF"/>
          <w:lang w:val="ro-RO" w:eastAsia="ru-RU"/>
        </w:rPr>
      </w:pPr>
      <w:r w:rsidRPr="00644D4E">
        <w:rPr>
          <w:lang w:val="ro-RO"/>
        </w:rPr>
        <w:drawing>
          <wp:inline distT="0" distB="0" distL="0" distR="0" wp14:anchorId="2C2C75C1" wp14:editId="40AE2862">
            <wp:extent cx="5238750" cy="2714625"/>
            <wp:effectExtent l="0" t="0" r="0" b="9525"/>
            <wp:docPr id="462"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93FB0ED" w14:textId="77777777" w:rsidR="006314F4" w:rsidRPr="00644D4E" w:rsidRDefault="006314F4" w:rsidP="006314F4">
      <w:pPr>
        <w:spacing w:after="200" w:line="276" w:lineRule="auto"/>
        <w:contextualSpacing/>
        <w:rPr>
          <w:rFonts w:ascii="Times New Roman" w:eastAsiaTheme="minorEastAsia" w:hAnsi="Times New Roman" w:cs="Times New Roman"/>
          <w:sz w:val="16"/>
          <w:szCs w:val="16"/>
          <w:lang w:val="ro-RO" w:eastAsia="ru-RU"/>
        </w:rPr>
      </w:pPr>
      <w:r w:rsidRPr="00644D4E">
        <w:rPr>
          <w:rFonts w:ascii="Times New Roman" w:eastAsiaTheme="minorEastAsia" w:hAnsi="Times New Roman" w:cs="Times New Roman"/>
          <w:sz w:val="16"/>
          <w:szCs w:val="16"/>
          <w:lang w:val="ro-RO" w:eastAsia="ru-RU"/>
        </w:rPr>
        <w:t xml:space="preserve">                 Sursa: BNS</w:t>
      </w:r>
    </w:p>
    <w:p w14:paraId="5B734DDC" w14:textId="77777777" w:rsidR="006314F4" w:rsidRPr="00644D4E" w:rsidRDefault="006314F4" w:rsidP="006314F4">
      <w:pPr>
        <w:pStyle w:val="Heading3"/>
        <w:spacing w:after="120"/>
        <w:rPr>
          <w:color w:val="auto"/>
        </w:rPr>
      </w:pPr>
      <w:bookmarkStart w:id="23" w:name="_Toc138064740"/>
      <w:bookmarkStart w:id="24" w:name="_Toc40707649"/>
      <w:r w:rsidRPr="00644D4E">
        <w:rPr>
          <w:color w:val="auto"/>
        </w:rPr>
        <w:t>2.2.4. Ocuparea informală.</w:t>
      </w:r>
      <w:bookmarkEnd w:id="23"/>
      <w:r w:rsidRPr="00644D4E">
        <w:rPr>
          <w:color w:val="auto"/>
        </w:rPr>
        <w:t xml:space="preserve"> </w:t>
      </w:r>
      <w:bookmarkEnd w:id="24"/>
    </w:p>
    <w:p w14:paraId="717EE1FC" w14:textId="69FC3D90" w:rsidR="006314F4" w:rsidRPr="00644D4E" w:rsidRDefault="006314F4" w:rsidP="006314F4">
      <w:pPr>
        <w:pStyle w:val="NormalWeb"/>
        <w:spacing w:before="0" w:beforeAutospacing="0" w:after="120" w:afterAutospacing="0"/>
        <w:jc w:val="both"/>
        <w:rPr>
          <w:lang w:val="ro-RO"/>
        </w:rPr>
      </w:pPr>
      <w:r w:rsidRPr="00644D4E">
        <w:rPr>
          <w:rStyle w:val="Strong"/>
          <w:lang w:val="ro-RO"/>
        </w:rPr>
        <w:t>Munca nedeclarată</w:t>
      </w:r>
      <w:r w:rsidRPr="00644D4E">
        <w:rPr>
          <w:lang w:val="ro-RO"/>
        </w:rPr>
        <w:t xml:space="preserve"> în rândul salariaților a constituit </w:t>
      </w:r>
      <w:r w:rsidRPr="00644D4E">
        <w:rPr>
          <w:b/>
          <w:lang w:val="ro-RO"/>
        </w:rPr>
        <w:t>7,1%</w:t>
      </w:r>
      <w:r w:rsidRPr="00644D4E">
        <w:rPr>
          <w:lang w:val="ro-RO"/>
        </w:rPr>
        <w:t xml:space="preserve">, fiind în </w:t>
      </w:r>
      <w:proofErr w:type="spellStart"/>
      <w:r w:rsidRPr="00644D4E">
        <w:rPr>
          <w:lang w:val="ro-RO"/>
        </w:rPr>
        <w:t>creştere</w:t>
      </w:r>
      <w:proofErr w:type="spellEnd"/>
      <w:r w:rsidRPr="00644D4E">
        <w:rPr>
          <w:lang w:val="ro-RO"/>
        </w:rPr>
        <w:t xml:space="preserve"> față de nivelul anului precedent (6,2% în 2022). Practica de angajare fără perfectarea contractelor individuale de muncă (în baza unor înțelegeri verbale) este mai frecventă printre bărbați (9,2%), decât printre femei (5,2%). Cele mai mari ponderi ale salariaților, care lucrează doar în baza unor înțelegeri verbale, sunt estimate în </w:t>
      </w:r>
      <w:r w:rsidR="00E76D93" w:rsidRPr="00644D4E">
        <w:rPr>
          <w:i/>
          <w:lang w:val="ro-RO"/>
        </w:rPr>
        <w:t>A</w:t>
      </w:r>
      <w:r w:rsidRPr="00644D4E">
        <w:rPr>
          <w:i/>
          <w:lang w:val="ro-RO"/>
        </w:rPr>
        <w:t>gricultură</w:t>
      </w:r>
      <w:r w:rsidRPr="00644D4E">
        <w:rPr>
          <w:lang w:val="ro-RO"/>
        </w:rPr>
        <w:t xml:space="preserve"> (61,8%), </w:t>
      </w:r>
      <w:r w:rsidR="00E76D93" w:rsidRPr="00644D4E">
        <w:rPr>
          <w:i/>
          <w:lang w:val="ro-RO"/>
        </w:rPr>
        <w:t>C</w:t>
      </w:r>
      <w:r w:rsidRPr="00644D4E">
        <w:rPr>
          <w:i/>
          <w:lang w:val="ro-RO"/>
        </w:rPr>
        <w:t xml:space="preserve">onstrucții </w:t>
      </w:r>
      <w:r w:rsidRPr="00644D4E">
        <w:rPr>
          <w:lang w:val="ro-RO"/>
        </w:rPr>
        <w:t xml:space="preserve">(12,8%), </w:t>
      </w:r>
      <w:r w:rsidR="00E76D93" w:rsidRPr="00644D4E">
        <w:rPr>
          <w:i/>
          <w:lang w:val="ro-RO"/>
        </w:rPr>
        <w:t>C</w:t>
      </w:r>
      <w:r w:rsidRPr="00644D4E">
        <w:rPr>
          <w:i/>
          <w:lang w:val="ro-RO"/>
        </w:rPr>
        <w:t>omerț</w:t>
      </w:r>
      <w:r w:rsidRPr="00644D4E">
        <w:rPr>
          <w:lang w:val="ro-RO"/>
        </w:rPr>
        <w:t xml:space="preserve"> (5,7%) și </w:t>
      </w:r>
      <w:r w:rsidR="00E76D93" w:rsidRPr="00644D4E">
        <w:rPr>
          <w:i/>
          <w:lang w:val="ro-RO"/>
        </w:rPr>
        <w:t>A</w:t>
      </w:r>
      <w:r w:rsidRPr="00644D4E">
        <w:rPr>
          <w:i/>
          <w:lang w:val="ro-RO"/>
        </w:rPr>
        <w:t>lte activități de servicii</w:t>
      </w:r>
      <w:r w:rsidRPr="00644D4E">
        <w:rPr>
          <w:lang w:val="ro-RO"/>
        </w:rPr>
        <w:t xml:space="preserve"> (3,7%).</w:t>
      </w:r>
    </w:p>
    <w:p w14:paraId="2BB0846C" w14:textId="77777777" w:rsidR="006314F4" w:rsidRPr="00644D4E" w:rsidRDefault="006314F4" w:rsidP="006314F4">
      <w:pPr>
        <w:pStyle w:val="NormalWeb"/>
        <w:spacing w:before="0" w:beforeAutospacing="0" w:after="120" w:afterAutospacing="0"/>
        <w:jc w:val="both"/>
        <w:rPr>
          <w:lang w:val="ro-RO"/>
        </w:rPr>
      </w:pPr>
      <w:r w:rsidRPr="00644D4E">
        <w:rPr>
          <w:lang w:val="ro-RO"/>
        </w:rPr>
        <w:t xml:space="preserve">În </w:t>
      </w:r>
      <w:r w:rsidRPr="00644D4E">
        <w:rPr>
          <w:rStyle w:val="Strong"/>
          <w:lang w:val="ro-RO"/>
        </w:rPr>
        <w:t>sectorul informal</w:t>
      </w:r>
      <w:r w:rsidRPr="00644D4E">
        <w:rPr>
          <w:lang w:val="ro-RO"/>
        </w:rPr>
        <w:t xml:space="preserve"> în anul 2023 activau </w:t>
      </w:r>
      <w:r w:rsidRPr="00644D4E">
        <w:rPr>
          <w:b/>
          <w:lang w:val="ro-RO"/>
        </w:rPr>
        <w:t>143,3</w:t>
      </w:r>
      <w:r w:rsidRPr="00644D4E">
        <w:rPr>
          <w:lang w:val="ro-RO"/>
        </w:rPr>
        <w:t xml:space="preserve"> mii persoane sau </w:t>
      </w:r>
      <w:r w:rsidRPr="00644D4E">
        <w:rPr>
          <w:b/>
          <w:lang w:val="ro-RO"/>
        </w:rPr>
        <w:t>16,2%</w:t>
      </w:r>
      <w:r w:rsidRPr="00644D4E">
        <w:rPr>
          <w:lang w:val="ro-RO"/>
        </w:rPr>
        <w:t xml:space="preserve"> din totalul persoanelor ocupate în economie (în anul 2022 - 16,4%). Ponderea persoanelor care au avut un</w:t>
      </w:r>
      <w:r w:rsidRPr="00644D4E">
        <w:rPr>
          <w:rStyle w:val="Strong"/>
          <w:lang w:val="ro-RO"/>
        </w:rPr>
        <w:t xml:space="preserve"> loc de muncă </w:t>
      </w:r>
      <w:r w:rsidRPr="00644D4E">
        <w:rPr>
          <w:rStyle w:val="Strong"/>
          <w:lang w:val="ro-RO"/>
        </w:rPr>
        <w:lastRenderedPageBreak/>
        <w:t>informal</w:t>
      </w:r>
      <w:r w:rsidRPr="00644D4E">
        <w:rPr>
          <w:lang w:val="ro-RO"/>
        </w:rPr>
        <w:t xml:space="preserve"> a constituit </w:t>
      </w:r>
      <w:r w:rsidRPr="00644D4E">
        <w:rPr>
          <w:b/>
          <w:lang w:val="ro-RO"/>
        </w:rPr>
        <w:t>23,0%</w:t>
      </w:r>
      <w:r w:rsidRPr="00644D4E">
        <w:rPr>
          <w:lang w:val="ro-RO"/>
        </w:rPr>
        <w:t xml:space="preserve"> din totalul persoanelor ocupate (în anul 2022 – 22,0%). În sectorul agricol ocuparea informală a constituit </w:t>
      </w:r>
      <w:r w:rsidRPr="00644D4E">
        <w:rPr>
          <w:b/>
          <w:lang w:val="ro-RO"/>
        </w:rPr>
        <w:t>66,6%</w:t>
      </w:r>
      <w:r w:rsidRPr="00644D4E">
        <w:rPr>
          <w:lang w:val="ro-RO"/>
        </w:rPr>
        <w:t xml:space="preserve"> (în anul 2022 - 63,4%), iar în sectorul non-agricol - </w:t>
      </w:r>
      <w:r w:rsidRPr="00644D4E">
        <w:rPr>
          <w:b/>
          <w:lang w:val="ro-RO"/>
        </w:rPr>
        <w:t>11,4%</w:t>
      </w:r>
      <w:r w:rsidRPr="00644D4E">
        <w:rPr>
          <w:lang w:val="ro-RO"/>
        </w:rPr>
        <w:t xml:space="preserve"> (în anul 2022 – 11,1%). Cea mai mare pondere a persoanelor ocupate informal în activitățile non-agricole este înregistrată în </w:t>
      </w:r>
      <w:r w:rsidRPr="00644D4E">
        <w:rPr>
          <w:i/>
          <w:lang w:val="ro-RO"/>
        </w:rPr>
        <w:t>Construcții</w:t>
      </w:r>
      <w:r w:rsidRPr="00644D4E">
        <w:rPr>
          <w:lang w:val="ro-RO"/>
        </w:rPr>
        <w:t xml:space="preserve"> (66,2% din totalul persoanelor ocupate în construcții). </w:t>
      </w:r>
    </w:p>
    <w:p w14:paraId="2DD4F116" w14:textId="77777777" w:rsidR="006314F4" w:rsidRPr="00644D4E" w:rsidRDefault="006314F4" w:rsidP="006314F4">
      <w:pPr>
        <w:pStyle w:val="NormalWeb"/>
        <w:spacing w:before="0" w:beforeAutospacing="0" w:after="120" w:afterAutospacing="0"/>
        <w:jc w:val="both"/>
        <w:rPr>
          <w:lang w:val="ro-RO"/>
        </w:rPr>
      </w:pPr>
      <w:r w:rsidRPr="00644D4E">
        <w:rPr>
          <w:lang w:val="ro-RO"/>
        </w:rPr>
        <w:t xml:space="preserve">Din numărul persoanelor ocupate informal, salariații au alcătuit </w:t>
      </w:r>
      <w:r w:rsidRPr="00644D4E">
        <w:rPr>
          <w:b/>
          <w:lang w:val="ro-RO"/>
        </w:rPr>
        <w:t>26,1%</w:t>
      </w:r>
      <w:r w:rsidRPr="00644D4E">
        <w:rPr>
          <w:lang w:val="ro-RO"/>
        </w:rPr>
        <w:t xml:space="preserve">. Din totalul salariaților </w:t>
      </w:r>
      <w:r w:rsidRPr="00644D4E">
        <w:rPr>
          <w:rFonts w:eastAsia="Calibri"/>
          <w:shd w:val="clear" w:color="auto" w:fill="FFFFFF"/>
          <w:lang w:val="ro-RO"/>
        </w:rPr>
        <w:t>– 7</w:t>
      </w:r>
      <w:r w:rsidRPr="00644D4E">
        <w:rPr>
          <w:b/>
          <w:lang w:val="ro-RO"/>
        </w:rPr>
        <w:t>,5%</w:t>
      </w:r>
      <w:r w:rsidRPr="00644D4E">
        <w:rPr>
          <w:lang w:val="ro-RO"/>
        </w:rPr>
        <w:t xml:space="preserve"> au avut un loc de muncă informal și, în același timp, au primit salariul „în plic”, iar cele mai mari ponderi ale acestora se estimează pentru activitățile din </w:t>
      </w:r>
      <w:r w:rsidRPr="00644D4E">
        <w:rPr>
          <w:i/>
          <w:lang w:val="ro-RO"/>
        </w:rPr>
        <w:t>Agricultură</w:t>
      </w:r>
      <w:r w:rsidRPr="00644D4E">
        <w:rPr>
          <w:lang w:val="ro-RO"/>
        </w:rPr>
        <w:t xml:space="preserve"> (62,8%), </w:t>
      </w:r>
      <w:r w:rsidRPr="00644D4E">
        <w:rPr>
          <w:i/>
          <w:lang w:val="ro-RO"/>
        </w:rPr>
        <w:t>Construcții</w:t>
      </w:r>
      <w:r w:rsidRPr="00644D4E">
        <w:rPr>
          <w:lang w:val="ro-RO"/>
        </w:rPr>
        <w:t xml:space="preserve"> (13,2%) și </w:t>
      </w:r>
      <w:r w:rsidRPr="00644D4E">
        <w:rPr>
          <w:i/>
          <w:lang w:val="ro-RO"/>
        </w:rPr>
        <w:t>Comerț</w:t>
      </w:r>
      <w:r w:rsidRPr="00644D4E">
        <w:rPr>
          <w:lang w:val="ro-RO"/>
        </w:rPr>
        <w:t xml:space="preserve"> (5,5%).</w:t>
      </w:r>
    </w:p>
    <w:p w14:paraId="5D31A844" w14:textId="77777777" w:rsidR="00C50972" w:rsidRPr="00644D4E" w:rsidRDefault="00C50972" w:rsidP="00C50972">
      <w:pPr>
        <w:pStyle w:val="Heading2"/>
        <w:spacing w:line="240" w:lineRule="auto"/>
      </w:pPr>
      <w:r w:rsidRPr="00644D4E">
        <w:t>2.3. Piața forței de muncă conform datelor administrative ale Agenției Naționale pentru Ocuparea Forței de Muncă (ANOFM).</w:t>
      </w:r>
      <w:bookmarkEnd w:id="2"/>
      <w:bookmarkEnd w:id="3"/>
    </w:p>
    <w:p w14:paraId="593187B3" w14:textId="77777777" w:rsidR="00D26240" w:rsidRPr="00644D4E" w:rsidRDefault="00C50972" w:rsidP="00C50972">
      <w:pPr>
        <w:tabs>
          <w:tab w:val="left" w:leader="dot" w:pos="8505"/>
        </w:tabs>
        <w:autoSpaceDE w:val="0"/>
        <w:autoSpaceDN w:val="0"/>
        <w:adjustRightInd w:val="0"/>
        <w:spacing w:after="120" w:line="240" w:lineRule="auto"/>
        <w:jc w:val="both"/>
        <w:rPr>
          <w:rFonts w:ascii="Times New Roman" w:hAnsi="Times New Roman" w:cs="Times New Roman"/>
          <w:i/>
          <w:sz w:val="24"/>
          <w:szCs w:val="24"/>
          <w:lang w:val="ro-RO"/>
        </w:rPr>
      </w:pPr>
      <w:bookmarkStart w:id="25" w:name="_Toc40868842"/>
      <w:bookmarkStart w:id="26" w:name="_Toc138064742"/>
      <w:r w:rsidRPr="00644D4E">
        <w:rPr>
          <w:rStyle w:val="Heading3Char"/>
          <w:rFonts w:eastAsiaTheme="minorHAnsi"/>
          <w:color w:val="auto"/>
        </w:rPr>
        <w:t>2.3.1. Analiza șomajului înregistrat</w:t>
      </w:r>
      <w:bookmarkEnd w:id="25"/>
      <w:bookmarkEnd w:id="26"/>
      <w:r w:rsidRPr="00644D4E">
        <w:rPr>
          <w:rFonts w:ascii="Times New Roman" w:hAnsi="Times New Roman" w:cs="Times New Roman"/>
          <w:i/>
          <w:sz w:val="24"/>
          <w:szCs w:val="24"/>
          <w:lang w:val="ro-RO"/>
        </w:rPr>
        <w:t>.</w:t>
      </w:r>
    </w:p>
    <w:p w14:paraId="55111949" w14:textId="0B83C537" w:rsidR="00C50972" w:rsidRPr="00644D4E" w:rsidRDefault="002745E3" w:rsidP="00C50972">
      <w:pPr>
        <w:tabs>
          <w:tab w:val="left" w:leader="dot" w:pos="8505"/>
        </w:tabs>
        <w:autoSpaceDE w:val="0"/>
        <w:autoSpaceDN w:val="0"/>
        <w:adjustRightInd w:val="0"/>
        <w:spacing w:after="120" w:line="240" w:lineRule="auto"/>
        <w:jc w:val="both"/>
        <w:rPr>
          <w:rFonts w:ascii="Times New Roman" w:hAnsi="Times New Roman" w:cs="Times New Roman"/>
          <w:sz w:val="24"/>
          <w:szCs w:val="24"/>
          <w:lang w:val="ro-RO"/>
        </w:rPr>
      </w:pPr>
      <w:r w:rsidRPr="00644D4E">
        <w:rPr>
          <w:rFonts w:ascii="Times New Roman" w:hAnsi="Times New Roman" w:cs="Times New Roman"/>
          <w:sz w:val="24"/>
          <w:szCs w:val="24"/>
          <w:lang w:val="ro-RO"/>
        </w:rPr>
        <w:t>C</w:t>
      </w:r>
      <w:r w:rsidR="00C50972" w:rsidRPr="00644D4E">
        <w:rPr>
          <w:rFonts w:ascii="Times New Roman" w:hAnsi="Times New Roman" w:cs="Times New Roman"/>
          <w:sz w:val="24"/>
          <w:szCs w:val="24"/>
          <w:lang w:val="ro-RO"/>
        </w:rPr>
        <w:t>onform bazei de date ANOFM, pe parcursul anului 202</w:t>
      </w:r>
      <w:r w:rsidR="00327D93" w:rsidRPr="00644D4E">
        <w:rPr>
          <w:rFonts w:ascii="Times New Roman" w:hAnsi="Times New Roman" w:cs="Times New Roman"/>
          <w:sz w:val="24"/>
          <w:szCs w:val="24"/>
          <w:lang w:val="ro-RO"/>
        </w:rPr>
        <w:t>3</w:t>
      </w:r>
      <w:r w:rsidR="00C50972" w:rsidRPr="00644D4E">
        <w:rPr>
          <w:rFonts w:ascii="Times New Roman" w:hAnsi="Times New Roman" w:cs="Times New Roman"/>
          <w:sz w:val="24"/>
          <w:szCs w:val="24"/>
          <w:lang w:val="ro-RO"/>
        </w:rPr>
        <w:t xml:space="preserve"> au fost înregistrați cu statut de șomer </w:t>
      </w:r>
      <w:r w:rsidR="00591414" w:rsidRPr="00644D4E">
        <w:rPr>
          <w:rFonts w:ascii="Times New Roman" w:hAnsi="Times New Roman" w:cs="Times New Roman"/>
          <w:b/>
          <w:sz w:val="24"/>
          <w:szCs w:val="24"/>
          <w:lang w:val="ro-RO"/>
        </w:rPr>
        <w:t xml:space="preserve">26,5 </w:t>
      </w:r>
      <w:r w:rsidR="00C50972" w:rsidRPr="00644D4E">
        <w:rPr>
          <w:rFonts w:ascii="Times New Roman" w:hAnsi="Times New Roman" w:cs="Times New Roman"/>
          <w:b/>
          <w:sz w:val="24"/>
          <w:szCs w:val="24"/>
          <w:lang w:val="ro-RO"/>
        </w:rPr>
        <w:t>mii</w:t>
      </w:r>
      <w:r w:rsidR="00C50972" w:rsidRPr="00644D4E">
        <w:rPr>
          <w:rFonts w:ascii="Times New Roman" w:hAnsi="Times New Roman" w:cs="Times New Roman"/>
          <w:sz w:val="24"/>
          <w:szCs w:val="24"/>
          <w:lang w:val="ro-RO"/>
        </w:rPr>
        <w:t xml:space="preserve"> persoane în căutarea unui loc de muncă, ceea ce a constituit o scădere cu </w:t>
      </w:r>
      <w:r w:rsidR="00591414" w:rsidRPr="00644D4E">
        <w:rPr>
          <w:rFonts w:ascii="Times New Roman" w:hAnsi="Times New Roman" w:cs="Times New Roman"/>
          <w:b/>
          <w:sz w:val="24"/>
          <w:szCs w:val="24"/>
          <w:lang w:val="ro-RO"/>
        </w:rPr>
        <w:t>24</w:t>
      </w:r>
      <w:r w:rsidR="00C50972" w:rsidRPr="00644D4E">
        <w:rPr>
          <w:rFonts w:ascii="Times New Roman" w:hAnsi="Times New Roman" w:cs="Times New Roman"/>
          <w:b/>
          <w:sz w:val="24"/>
          <w:szCs w:val="24"/>
          <w:lang w:val="ro-RO"/>
        </w:rPr>
        <w:t>%</w:t>
      </w:r>
      <w:r w:rsidR="00C50972" w:rsidRPr="00644D4E">
        <w:rPr>
          <w:rFonts w:ascii="Times New Roman" w:hAnsi="Times New Roman" w:cs="Times New Roman"/>
          <w:sz w:val="24"/>
          <w:szCs w:val="24"/>
          <w:lang w:val="ro-RO"/>
        </w:rPr>
        <w:t xml:space="preserve"> față de anul 202</w:t>
      </w:r>
      <w:r w:rsidR="00591414" w:rsidRPr="00644D4E">
        <w:rPr>
          <w:rFonts w:ascii="Times New Roman" w:hAnsi="Times New Roman" w:cs="Times New Roman"/>
          <w:sz w:val="24"/>
          <w:szCs w:val="24"/>
          <w:lang w:val="ro-RO"/>
        </w:rPr>
        <w:t>2</w:t>
      </w:r>
      <w:r w:rsidR="00C50972" w:rsidRPr="00644D4E">
        <w:rPr>
          <w:rFonts w:ascii="Times New Roman" w:hAnsi="Times New Roman" w:cs="Times New Roman"/>
          <w:sz w:val="24"/>
          <w:szCs w:val="24"/>
          <w:lang w:val="ro-RO"/>
        </w:rPr>
        <w:t>.</w:t>
      </w:r>
    </w:p>
    <w:p w14:paraId="0C03E488" w14:textId="77777777" w:rsidR="00C50972" w:rsidRPr="00644D4E" w:rsidRDefault="00C50972" w:rsidP="00C50972">
      <w:pPr>
        <w:tabs>
          <w:tab w:val="left" w:leader="dot" w:pos="8505"/>
        </w:tabs>
        <w:autoSpaceDE w:val="0"/>
        <w:autoSpaceDN w:val="0"/>
        <w:adjustRightInd w:val="0"/>
        <w:spacing w:after="120" w:line="240" w:lineRule="auto"/>
        <w:jc w:val="both"/>
        <w:rPr>
          <w:lang w:val="ro-RO"/>
        </w:rPr>
      </w:pPr>
      <w:r w:rsidRPr="00644D4E">
        <w:rPr>
          <w:rFonts w:ascii="Times New Roman" w:hAnsi="Times New Roman" w:cs="Times New Roman"/>
          <w:sz w:val="24"/>
          <w:szCs w:val="24"/>
          <w:lang w:val="ro-RO"/>
        </w:rPr>
        <w:t>Din numărul total al șomerilor înregistrați pe parcursul anului 202</w:t>
      </w:r>
      <w:r w:rsidR="00451372" w:rsidRPr="00644D4E">
        <w:rPr>
          <w:rFonts w:ascii="Times New Roman" w:hAnsi="Times New Roman" w:cs="Times New Roman"/>
          <w:sz w:val="24"/>
          <w:szCs w:val="24"/>
          <w:lang w:val="ro-RO"/>
        </w:rPr>
        <w:t>3</w:t>
      </w:r>
      <w:r w:rsidRPr="00644D4E">
        <w:rPr>
          <w:rFonts w:ascii="Times New Roman" w:hAnsi="Times New Roman" w:cs="Times New Roman"/>
          <w:sz w:val="24"/>
          <w:szCs w:val="24"/>
          <w:lang w:val="ro-RO"/>
        </w:rPr>
        <w:t xml:space="preserve"> </w:t>
      </w:r>
      <w:r w:rsidR="00806545" w:rsidRPr="00644D4E">
        <w:rPr>
          <w:lang w:val="ro-RO"/>
        </w:rPr>
        <w:t>–</w:t>
      </w:r>
      <w:r w:rsidRPr="00644D4E">
        <w:rPr>
          <w:rFonts w:ascii="Times New Roman" w:hAnsi="Times New Roman" w:cs="Times New Roman"/>
          <w:sz w:val="24"/>
          <w:szCs w:val="24"/>
          <w:lang w:val="ro-RO"/>
        </w:rPr>
        <w:t xml:space="preserve"> </w:t>
      </w:r>
      <w:r w:rsidR="00523D5D" w:rsidRPr="00644D4E">
        <w:rPr>
          <w:rFonts w:ascii="Times New Roman" w:hAnsi="Times New Roman" w:cs="Times New Roman"/>
          <w:b/>
          <w:sz w:val="24"/>
          <w:szCs w:val="24"/>
          <w:lang w:val="ro-RO"/>
        </w:rPr>
        <w:t>6</w:t>
      </w:r>
      <w:r w:rsidR="00451372" w:rsidRPr="00644D4E">
        <w:rPr>
          <w:rFonts w:ascii="Times New Roman" w:hAnsi="Times New Roman" w:cs="Times New Roman"/>
          <w:b/>
          <w:sz w:val="24"/>
          <w:szCs w:val="24"/>
          <w:lang w:val="ro-RO"/>
        </w:rPr>
        <w:t>4</w:t>
      </w:r>
      <w:r w:rsidRPr="00644D4E">
        <w:rPr>
          <w:rFonts w:ascii="Times New Roman" w:hAnsi="Times New Roman" w:cs="Times New Roman"/>
          <w:b/>
          <w:sz w:val="24"/>
          <w:szCs w:val="24"/>
          <w:lang w:val="ro-RO"/>
        </w:rPr>
        <w:t>%</w:t>
      </w:r>
      <w:r w:rsidRPr="00644D4E">
        <w:rPr>
          <w:rFonts w:ascii="Times New Roman" w:hAnsi="Times New Roman" w:cs="Times New Roman"/>
          <w:sz w:val="24"/>
          <w:szCs w:val="24"/>
          <w:lang w:val="ro-RO"/>
        </w:rPr>
        <w:t xml:space="preserve"> nu aveau o calificare profesională, ceea ce constituie cu </w:t>
      </w:r>
      <w:r w:rsidR="00451372" w:rsidRPr="00644D4E">
        <w:rPr>
          <w:rFonts w:ascii="Times New Roman" w:hAnsi="Times New Roman" w:cs="Times New Roman"/>
          <w:b/>
          <w:sz w:val="24"/>
          <w:szCs w:val="24"/>
          <w:lang w:val="ro-RO"/>
        </w:rPr>
        <w:t xml:space="preserve">4 </w:t>
      </w:r>
      <w:proofErr w:type="spellStart"/>
      <w:r w:rsidRPr="00644D4E">
        <w:rPr>
          <w:rFonts w:ascii="Times New Roman" w:hAnsi="Times New Roman" w:cs="Times New Roman"/>
          <w:b/>
          <w:sz w:val="24"/>
          <w:szCs w:val="24"/>
          <w:lang w:val="ro-RO"/>
        </w:rPr>
        <w:t>p.p.</w:t>
      </w:r>
      <w:proofErr w:type="spellEnd"/>
      <w:r w:rsidRPr="00644D4E">
        <w:rPr>
          <w:rFonts w:ascii="Times New Roman" w:hAnsi="Times New Roman" w:cs="Times New Roman"/>
          <w:sz w:val="24"/>
          <w:szCs w:val="24"/>
          <w:lang w:val="ro-RO"/>
        </w:rPr>
        <w:t xml:space="preserve"> mai </w:t>
      </w:r>
      <w:r w:rsidR="00451372" w:rsidRPr="00644D4E">
        <w:rPr>
          <w:rFonts w:ascii="Times New Roman" w:hAnsi="Times New Roman" w:cs="Times New Roman"/>
          <w:sz w:val="24"/>
          <w:szCs w:val="24"/>
          <w:lang w:val="ro-RO"/>
        </w:rPr>
        <w:t>puțin</w:t>
      </w:r>
      <w:r w:rsidRPr="00644D4E">
        <w:rPr>
          <w:rFonts w:ascii="Times New Roman" w:hAnsi="Times New Roman" w:cs="Times New Roman"/>
          <w:sz w:val="24"/>
          <w:szCs w:val="24"/>
          <w:lang w:val="ro-RO"/>
        </w:rPr>
        <w:t xml:space="preserve"> ca în 202</w:t>
      </w:r>
      <w:r w:rsidR="00451372" w:rsidRPr="00644D4E">
        <w:rPr>
          <w:rFonts w:ascii="Times New Roman" w:hAnsi="Times New Roman" w:cs="Times New Roman"/>
          <w:sz w:val="24"/>
          <w:szCs w:val="24"/>
          <w:lang w:val="ro-RO"/>
        </w:rPr>
        <w:t>2</w:t>
      </w:r>
      <w:r w:rsidRPr="00644D4E">
        <w:rPr>
          <w:rFonts w:ascii="Times New Roman" w:hAnsi="Times New Roman" w:cs="Times New Roman"/>
          <w:sz w:val="24"/>
          <w:szCs w:val="24"/>
          <w:lang w:val="ro-RO"/>
        </w:rPr>
        <w:t xml:space="preserve"> (6</w:t>
      </w:r>
      <w:r w:rsidR="00451372" w:rsidRPr="00644D4E">
        <w:rPr>
          <w:rFonts w:ascii="Times New Roman" w:hAnsi="Times New Roman" w:cs="Times New Roman"/>
          <w:sz w:val="24"/>
          <w:szCs w:val="24"/>
          <w:lang w:val="ro-RO"/>
        </w:rPr>
        <w:t>8</w:t>
      </w:r>
      <w:r w:rsidRPr="00644D4E">
        <w:rPr>
          <w:rFonts w:ascii="Times New Roman" w:hAnsi="Times New Roman" w:cs="Times New Roman"/>
          <w:sz w:val="24"/>
          <w:szCs w:val="24"/>
          <w:lang w:val="ro-RO"/>
        </w:rPr>
        <w:t>%)</w:t>
      </w:r>
      <w:r w:rsidR="00523D5D" w:rsidRPr="00644D4E">
        <w:rPr>
          <w:rFonts w:ascii="Times New Roman" w:hAnsi="Times New Roman" w:cs="Times New Roman"/>
          <w:sz w:val="24"/>
          <w:szCs w:val="24"/>
          <w:lang w:val="ro-RO"/>
        </w:rPr>
        <w:t>.</w:t>
      </w:r>
      <w:r w:rsidR="00451372" w:rsidRPr="00644D4E">
        <w:rPr>
          <w:rFonts w:ascii="Times New Roman" w:hAnsi="Times New Roman" w:cs="Times New Roman"/>
          <w:sz w:val="24"/>
          <w:szCs w:val="24"/>
          <w:lang w:val="ro-RO"/>
        </w:rPr>
        <w:t xml:space="preserve"> </w:t>
      </w:r>
      <w:r w:rsidR="00661817" w:rsidRPr="00644D4E">
        <w:rPr>
          <w:rFonts w:ascii="Times New Roman" w:hAnsi="Times New Roman" w:cs="Times New Roman"/>
          <w:sz w:val="24"/>
          <w:szCs w:val="24"/>
          <w:lang w:val="ro-RO"/>
        </w:rPr>
        <w:t>S</w:t>
      </w:r>
      <w:r w:rsidR="00451372" w:rsidRPr="00644D4E">
        <w:rPr>
          <w:rFonts w:ascii="Times New Roman" w:hAnsi="Times New Roman" w:cs="Times New Roman"/>
          <w:sz w:val="24"/>
          <w:szCs w:val="24"/>
          <w:lang w:val="ro-RO"/>
        </w:rPr>
        <w:t xml:space="preserve">pre deosebire de tendințele </w:t>
      </w:r>
      <w:r w:rsidR="00661817" w:rsidRPr="00644D4E">
        <w:rPr>
          <w:rFonts w:ascii="Times New Roman" w:hAnsi="Times New Roman" w:cs="Times New Roman"/>
          <w:sz w:val="24"/>
          <w:szCs w:val="24"/>
          <w:lang w:val="ro-RO"/>
        </w:rPr>
        <w:t>de creștere a numărului de șomeri înregistrați, care nu au o calificare profesională pe parcursul</w:t>
      </w:r>
      <w:r w:rsidR="00451372" w:rsidRPr="00644D4E">
        <w:rPr>
          <w:rFonts w:ascii="Times New Roman" w:hAnsi="Times New Roman" w:cs="Times New Roman"/>
          <w:sz w:val="24"/>
          <w:szCs w:val="24"/>
          <w:lang w:val="ro-RO"/>
        </w:rPr>
        <w:t xml:space="preserve"> ultimi</w:t>
      </w:r>
      <w:r w:rsidR="00661817" w:rsidRPr="00644D4E">
        <w:rPr>
          <w:rFonts w:ascii="Times New Roman" w:hAnsi="Times New Roman" w:cs="Times New Roman"/>
          <w:sz w:val="24"/>
          <w:szCs w:val="24"/>
          <w:lang w:val="ro-RO"/>
        </w:rPr>
        <w:t>lor</w:t>
      </w:r>
      <w:r w:rsidR="00451372" w:rsidRPr="00644D4E">
        <w:rPr>
          <w:rFonts w:ascii="Times New Roman" w:hAnsi="Times New Roman" w:cs="Times New Roman"/>
          <w:sz w:val="24"/>
          <w:szCs w:val="24"/>
          <w:lang w:val="ro-RO"/>
        </w:rPr>
        <w:t xml:space="preserve"> ani, anul 2023 se caracterizează printr-o scădere a acestora. </w:t>
      </w:r>
    </w:p>
    <w:p w14:paraId="0C62F52C" w14:textId="5C2FCB1F" w:rsidR="007664E8" w:rsidRPr="00644D4E" w:rsidRDefault="00C50972" w:rsidP="00C50972">
      <w:pPr>
        <w:spacing w:after="120" w:line="240" w:lineRule="auto"/>
        <w:jc w:val="both"/>
        <w:rPr>
          <w:rFonts w:ascii="Times New Roman" w:hAnsi="Times New Roman" w:cs="Times New Roman"/>
          <w:sz w:val="24"/>
          <w:szCs w:val="24"/>
          <w:lang w:val="ro-RO"/>
        </w:rPr>
      </w:pPr>
      <w:r w:rsidRPr="00644D4E">
        <w:rPr>
          <w:rFonts w:ascii="Times New Roman" w:hAnsi="Times New Roman" w:cs="Times New Roman"/>
          <w:sz w:val="24"/>
          <w:szCs w:val="24"/>
          <w:lang w:val="ro-RO"/>
        </w:rPr>
        <w:t xml:space="preserve">Analizând structura șomerilor înregistrați pe grupe de vârstă, se constată că cei mai mulți șomeri </w:t>
      </w:r>
      <w:r w:rsidR="004A07AD" w:rsidRPr="00644D4E">
        <w:rPr>
          <w:rFonts w:ascii="Times New Roman" w:hAnsi="Times New Roman" w:cs="Times New Roman"/>
          <w:sz w:val="24"/>
          <w:szCs w:val="24"/>
          <w:lang w:val="ro-RO"/>
        </w:rPr>
        <w:t xml:space="preserve">au fost </w:t>
      </w:r>
      <w:r w:rsidRPr="00644D4E">
        <w:rPr>
          <w:rFonts w:ascii="Times New Roman" w:hAnsi="Times New Roman" w:cs="Times New Roman"/>
          <w:sz w:val="24"/>
          <w:szCs w:val="24"/>
          <w:lang w:val="ro-RO"/>
        </w:rPr>
        <w:t>cu vârsta cuprinsă între 3</w:t>
      </w:r>
      <w:r w:rsidR="004A07AD" w:rsidRPr="00644D4E">
        <w:rPr>
          <w:rFonts w:ascii="Times New Roman" w:hAnsi="Times New Roman" w:cs="Times New Roman"/>
          <w:sz w:val="24"/>
          <w:szCs w:val="24"/>
          <w:lang w:val="ro-RO"/>
        </w:rPr>
        <w:t>5</w:t>
      </w:r>
      <w:r w:rsidR="00CA49E2" w:rsidRPr="00644D4E">
        <w:rPr>
          <w:lang w:val="ro-RO"/>
        </w:rPr>
        <w:t>–</w:t>
      </w:r>
      <w:r w:rsidRPr="00644D4E">
        <w:rPr>
          <w:rFonts w:ascii="Times New Roman" w:hAnsi="Times New Roman" w:cs="Times New Roman"/>
          <w:sz w:val="24"/>
          <w:szCs w:val="24"/>
          <w:lang w:val="ro-RO"/>
        </w:rPr>
        <w:t>49 ani (</w:t>
      </w:r>
      <w:r w:rsidR="004A07AD" w:rsidRPr="00644D4E">
        <w:rPr>
          <w:rFonts w:ascii="Times New Roman" w:hAnsi="Times New Roman" w:cs="Times New Roman"/>
          <w:b/>
          <w:sz w:val="24"/>
          <w:szCs w:val="24"/>
          <w:lang w:val="ro-RO"/>
        </w:rPr>
        <w:t>3</w:t>
      </w:r>
      <w:r w:rsidR="006365E0" w:rsidRPr="00644D4E">
        <w:rPr>
          <w:rFonts w:ascii="Times New Roman" w:hAnsi="Times New Roman" w:cs="Times New Roman"/>
          <w:b/>
          <w:sz w:val="24"/>
          <w:szCs w:val="24"/>
          <w:lang w:val="ro-RO"/>
        </w:rPr>
        <w:t>9</w:t>
      </w:r>
      <w:r w:rsidR="004A07AD" w:rsidRPr="00644D4E">
        <w:rPr>
          <w:rFonts w:ascii="Times New Roman" w:hAnsi="Times New Roman" w:cs="Times New Roman"/>
          <w:b/>
          <w:sz w:val="24"/>
          <w:szCs w:val="24"/>
          <w:lang w:val="ro-RO"/>
        </w:rPr>
        <w:t>%</w:t>
      </w:r>
      <w:r w:rsidRPr="00644D4E">
        <w:rPr>
          <w:rFonts w:ascii="Times New Roman" w:hAnsi="Times New Roman" w:cs="Times New Roman"/>
          <w:b/>
          <w:sz w:val="24"/>
          <w:szCs w:val="24"/>
          <w:lang w:val="ro-RO"/>
        </w:rPr>
        <w:t>)</w:t>
      </w:r>
      <w:r w:rsidRPr="00644D4E">
        <w:rPr>
          <w:rFonts w:ascii="Times New Roman" w:hAnsi="Times New Roman" w:cs="Times New Roman"/>
          <w:sz w:val="24"/>
          <w:szCs w:val="24"/>
          <w:lang w:val="ro-RO"/>
        </w:rPr>
        <w:t xml:space="preserve">, urmați de cei cu vârsta </w:t>
      </w:r>
      <w:r w:rsidR="004A07AD" w:rsidRPr="00644D4E">
        <w:rPr>
          <w:rFonts w:ascii="Times New Roman" w:hAnsi="Times New Roman" w:cs="Times New Roman"/>
          <w:sz w:val="24"/>
          <w:szCs w:val="24"/>
          <w:lang w:val="ro-RO"/>
        </w:rPr>
        <w:t>56+</w:t>
      </w:r>
      <w:r w:rsidRPr="00644D4E">
        <w:rPr>
          <w:rFonts w:ascii="Times New Roman" w:hAnsi="Times New Roman" w:cs="Times New Roman"/>
          <w:sz w:val="24"/>
          <w:szCs w:val="24"/>
          <w:lang w:val="ro-RO"/>
        </w:rPr>
        <w:t xml:space="preserve"> ani </w:t>
      </w:r>
      <w:r w:rsidR="00E953E2" w:rsidRPr="00644D4E">
        <w:rPr>
          <w:rFonts w:ascii="Times New Roman" w:hAnsi="Times New Roman" w:cs="Times New Roman"/>
          <w:sz w:val="24"/>
          <w:szCs w:val="24"/>
          <w:lang w:val="ro-RO"/>
        </w:rPr>
        <w:t>și</w:t>
      </w:r>
      <w:r w:rsidR="004A07AD" w:rsidRPr="00644D4E">
        <w:rPr>
          <w:rFonts w:ascii="Times New Roman" w:hAnsi="Times New Roman" w:cs="Times New Roman"/>
          <w:sz w:val="24"/>
          <w:szCs w:val="24"/>
          <w:lang w:val="ro-RO"/>
        </w:rPr>
        <w:t xml:space="preserve"> 2</w:t>
      </w:r>
      <w:r w:rsidR="00E953E2" w:rsidRPr="00644D4E">
        <w:rPr>
          <w:rFonts w:ascii="Times New Roman" w:hAnsi="Times New Roman" w:cs="Times New Roman"/>
          <w:sz w:val="24"/>
          <w:szCs w:val="24"/>
          <w:lang w:val="ro-RO"/>
        </w:rPr>
        <w:t>5</w:t>
      </w:r>
      <w:r w:rsidR="00CA49E2" w:rsidRPr="00644D4E">
        <w:rPr>
          <w:lang w:val="ro-RO"/>
        </w:rPr>
        <w:t>–</w:t>
      </w:r>
      <w:r w:rsidR="004A07AD" w:rsidRPr="00644D4E">
        <w:rPr>
          <w:rFonts w:ascii="Times New Roman" w:hAnsi="Times New Roman" w:cs="Times New Roman"/>
          <w:sz w:val="24"/>
          <w:szCs w:val="24"/>
          <w:lang w:val="ro-RO"/>
        </w:rPr>
        <w:t>34 ani</w:t>
      </w:r>
      <w:r w:rsidR="00E953E2" w:rsidRPr="00644D4E">
        <w:rPr>
          <w:rFonts w:ascii="Times New Roman" w:hAnsi="Times New Roman" w:cs="Times New Roman"/>
          <w:sz w:val="24"/>
          <w:szCs w:val="24"/>
          <w:lang w:val="ro-RO"/>
        </w:rPr>
        <w:t xml:space="preserve"> cu</w:t>
      </w:r>
      <w:r w:rsidR="004A07AD" w:rsidRPr="00644D4E">
        <w:rPr>
          <w:rFonts w:ascii="Times New Roman" w:hAnsi="Times New Roman" w:cs="Times New Roman"/>
          <w:sz w:val="24"/>
          <w:szCs w:val="24"/>
          <w:lang w:val="ro-RO"/>
        </w:rPr>
        <w:t xml:space="preserve"> </w:t>
      </w:r>
      <w:r w:rsidR="004A07AD" w:rsidRPr="00644D4E">
        <w:rPr>
          <w:rFonts w:ascii="Times New Roman" w:hAnsi="Times New Roman" w:cs="Times New Roman"/>
          <w:b/>
          <w:sz w:val="24"/>
          <w:szCs w:val="24"/>
          <w:lang w:val="ro-RO"/>
        </w:rPr>
        <w:t>1</w:t>
      </w:r>
      <w:r w:rsidR="006365E0" w:rsidRPr="00644D4E">
        <w:rPr>
          <w:rFonts w:ascii="Times New Roman" w:hAnsi="Times New Roman" w:cs="Times New Roman"/>
          <w:b/>
          <w:sz w:val="24"/>
          <w:szCs w:val="24"/>
          <w:lang w:val="ro-RO"/>
        </w:rPr>
        <w:t>9</w:t>
      </w:r>
      <w:r w:rsidR="004A07AD" w:rsidRPr="00644D4E">
        <w:rPr>
          <w:rFonts w:ascii="Times New Roman" w:hAnsi="Times New Roman" w:cs="Times New Roman"/>
          <w:b/>
          <w:sz w:val="24"/>
          <w:szCs w:val="24"/>
          <w:lang w:val="ro-RO"/>
        </w:rPr>
        <w:t>%</w:t>
      </w:r>
      <w:r w:rsidR="004A07AD" w:rsidRPr="00644D4E">
        <w:rPr>
          <w:rFonts w:ascii="Times New Roman" w:hAnsi="Times New Roman" w:cs="Times New Roman"/>
          <w:sz w:val="24"/>
          <w:szCs w:val="24"/>
          <w:lang w:val="ro-RO"/>
        </w:rPr>
        <w:t>, 50</w:t>
      </w:r>
      <w:r w:rsidR="00CA49E2" w:rsidRPr="00644D4E">
        <w:rPr>
          <w:lang w:val="ro-RO"/>
        </w:rPr>
        <w:t>–</w:t>
      </w:r>
      <w:r w:rsidR="004A07AD" w:rsidRPr="00644D4E">
        <w:rPr>
          <w:rFonts w:ascii="Times New Roman" w:hAnsi="Times New Roman" w:cs="Times New Roman"/>
          <w:sz w:val="24"/>
          <w:szCs w:val="24"/>
          <w:lang w:val="ro-RO"/>
        </w:rPr>
        <w:t>55 ani (</w:t>
      </w:r>
      <w:r w:rsidR="004A07AD" w:rsidRPr="00644D4E">
        <w:rPr>
          <w:rFonts w:ascii="Times New Roman" w:hAnsi="Times New Roman" w:cs="Times New Roman"/>
          <w:b/>
          <w:sz w:val="24"/>
          <w:szCs w:val="24"/>
          <w:lang w:val="ro-RO"/>
        </w:rPr>
        <w:t>1</w:t>
      </w:r>
      <w:r w:rsidR="006365E0" w:rsidRPr="00644D4E">
        <w:rPr>
          <w:rFonts w:ascii="Times New Roman" w:hAnsi="Times New Roman" w:cs="Times New Roman"/>
          <w:b/>
          <w:sz w:val="24"/>
          <w:szCs w:val="24"/>
          <w:lang w:val="ro-RO"/>
        </w:rPr>
        <w:t>5</w:t>
      </w:r>
      <w:r w:rsidR="004A07AD" w:rsidRPr="00644D4E">
        <w:rPr>
          <w:rFonts w:ascii="Times New Roman" w:hAnsi="Times New Roman" w:cs="Times New Roman"/>
          <w:b/>
          <w:sz w:val="24"/>
          <w:szCs w:val="24"/>
          <w:lang w:val="ro-RO"/>
        </w:rPr>
        <w:t>%</w:t>
      </w:r>
      <w:r w:rsidR="004A07AD" w:rsidRPr="00644D4E">
        <w:rPr>
          <w:rFonts w:ascii="Times New Roman" w:hAnsi="Times New Roman" w:cs="Times New Roman"/>
          <w:sz w:val="24"/>
          <w:szCs w:val="24"/>
          <w:lang w:val="ro-RO"/>
        </w:rPr>
        <w:t>)</w:t>
      </w:r>
      <w:r w:rsidRPr="00644D4E">
        <w:rPr>
          <w:rFonts w:ascii="Times New Roman" w:hAnsi="Times New Roman" w:cs="Times New Roman"/>
          <w:sz w:val="24"/>
          <w:szCs w:val="24"/>
          <w:lang w:val="ro-RO"/>
        </w:rPr>
        <w:t xml:space="preserve"> și cei de </w:t>
      </w:r>
      <w:r w:rsidR="004A07AD" w:rsidRPr="00644D4E">
        <w:rPr>
          <w:rFonts w:ascii="Times New Roman" w:hAnsi="Times New Roman" w:cs="Times New Roman"/>
          <w:sz w:val="24"/>
          <w:szCs w:val="24"/>
          <w:lang w:val="ro-RO"/>
        </w:rPr>
        <w:t>16</w:t>
      </w:r>
      <w:r w:rsidR="00CA49E2" w:rsidRPr="00644D4E">
        <w:rPr>
          <w:lang w:val="ro-RO"/>
        </w:rPr>
        <w:t>–</w:t>
      </w:r>
      <w:r w:rsidR="004A07AD" w:rsidRPr="00644D4E">
        <w:rPr>
          <w:rFonts w:ascii="Times New Roman" w:hAnsi="Times New Roman" w:cs="Times New Roman"/>
          <w:sz w:val="24"/>
          <w:szCs w:val="24"/>
          <w:lang w:val="ro-RO"/>
        </w:rPr>
        <w:t>24 ani</w:t>
      </w:r>
      <w:r w:rsidRPr="00644D4E">
        <w:rPr>
          <w:rFonts w:ascii="Times New Roman" w:hAnsi="Times New Roman" w:cs="Times New Roman"/>
          <w:sz w:val="24"/>
          <w:szCs w:val="24"/>
          <w:lang w:val="ro-RO"/>
        </w:rPr>
        <w:t xml:space="preserve"> </w:t>
      </w:r>
      <w:r w:rsidR="00661817" w:rsidRPr="00644D4E">
        <w:rPr>
          <w:rFonts w:ascii="Times New Roman" w:hAnsi="Times New Roman" w:cs="Times New Roman"/>
          <w:sz w:val="24"/>
          <w:szCs w:val="24"/>
          <w:lang w:val="ro-RO"/>
        </w:rPr>
        <w:t xml:space="preserve">cu </w:t>
      </w:r>
      <w:r w:rsidR="006365E0" w:rsidRPr="00644D4E">
        <w:rPr>
          <w:rFonts w:ascii="Times New Roman" w:hAnsi="Times New Roman" w:cs="Times New Roman"/>
          <w:b/>
          <w:sz w:val="24"/>
          <w:szCs w:val="24"/>
          <w:lang w:val="ro-RO"/>
        </w:rPr>
        <w:t>8</w:t>
      </w:r>
      <w:r w:rsidRPr="00644D4E">
        <w:rPr>
          <w:rFonts w:ascii="Times New Roman" w:hAnsi="Times New Roman" w:cs="Times New Roman"/>
          <w:b/>
          <w:sz w:val="24"/>
          <w:szCs w:val="24"/>
          <w:lang w:val="ro-RO"/>
        </w:rPr>
        <w:t>%</w:t>
      </w:r>
      <w:r w:rsidRPr="00644D4E">
        <w:rPr>
          <w:rFonts w:ascii="Times New Roman" w:hAnsi="Times New Roman" w:cs="Times New Roman"/>
          <w:sz w:val="24"/>
          <w:szCs w:val="24"/>
          <w:lang w:val="ro-RO"/>
        </w:rPr>
        <w:t xml:space="preserve">. </w:t>
      </w:r>
      <w:r w:rsidR="00661817" w:rsidRPr="00644D4E">
        <w:rPr>
          <w:rFonts w:ascii="Times New Roman" w:hAnsi="Times New Roman" w:cs="Times New Roman"/>
          <w:sz w:val="24"/>
          <w:szCs w:val="24"/>
          <w:lang w:val="ro-RO"/>
        </w:rPr>
        <w:t xml:space="preserve">În contrast cu </w:t>
      </w:r>
      <w:r w:rsidR="00E953E2" w:rsidRPr="00644D4E">
        <w:rPr>
          <w:rFonts w:ascii="Times New Roman" w:hAnsi="Times New Roman" w:cs="Times New Roman"/>
          <w:sz w:val="24"/>
          <w:szCs w:val="24"/>
          <w:lang w:val="ro-RO"/>
        </w:rPr>
        <w:t xml:space="preserve">tendințele </w:t>
      </w:r>
      <w:r w:rsidRPr="00644D4E">
        <w:rPr>
          <w:rFonts w:ascii="Times New Roman" w:hAnsi="Times New Roman" w:cs="Times New Roman"/>
          <w:sz w:val="24"/>
          <w:szCs w:val="24"/>
          <w:lang w:val="ro-RO"/>
        </w:rPr>
        <w:t>de scădere a ponderii persoanelor tinere</w:t>
      </w:r>
      <w:r w:rsidR="00F848A0" w:rsidRPr="00644D4E">
        <w:rPr>
          <w:rFonts w:ascii="Times New Roman" w:hAnsi="Times New Roman" w:cs="Times New Roman"/>
          <w:sz w:val="24"/>
          <w:szCs w:val="24"/>
          <w:lang w:val="ro-RO"/>
        </w:rPr>
        <w:t>, care se înregistr</w:t>
      </w:r>
      <w:r w:rsidR="00661817" w:rsidRPr="00644D4E">
        <w:rPr>
          <w:rFonts w:ascii="Times New Roman" w:hAnsi="Times New Roman" w:cs="Times New Roman"/>
          <w:sz w:val="24"/>
          <w:szCs w:val="24"/>
          <w:lang w:val="ro-RO"/>
        </w:rPr>
        <w:t>au</w:t>
      </w:r>
      <w:r w:rsidR="00F848A0" w:rsidRPr="00644D4E">
        <w:rPr>
          <w:rFonts w:ascii="Times New Roman" w:hAnsi="Times New Roman" w:cs="Times New Roman"/>
          <w:sz w:val="24"/>
          <w:szCs w:val="24"/>
          <w:lang w:val="ro-RO"/>
        </w:rPr>
        <w:t xml:space="preserve"> la subdiviziunile teritoriale în căutarea unui loc de muncă pe parcursul ultimilor ani</w:t>
      </w:r>
      <w:r w:rsidRPr="00644D4E">
        <w:rPr>
          <w:rFonts w:ascii="Times New Roman" w:hAnsi="Times New Roman" w:cs="Times New Roman"/>
          <w:sz w:val="24"/>
          <w:szCs w:val="24"/>
          <w:lang w:val="ro-RO"/>
        </w:rPr>
        <w:t xml:space="preserve">, </w:t>
      </w:r>
      <w:r w:rsidR="00E953E2" w:rsidRPr="00644D4E">
        <w:rPr>
          <w:rFonts w:ascii="Times New Roman" w:hAnsi="Times New Roman" w:cs="Times New Roman"/>
          <w:sz w:val="24"/>
          <w:szCs w:val="24"/>
          <w:lang w:val="ro-RO"/>
        </w:rPr>
        <w:t xml:space="preserve">în 2023 s-au </w:t>
      </w:r>
      <w:r w:rsidR="002F00C9" w:rsidRPr="00644D4E">
        <w:rPr>
          <w:rFonts w:ascii="Times New Roman" w:hAnsi="Times New Roman" w:cs="Times New Roman"/>
          <w:sz w:val="24"/>
          <w:szCs w:val="24"/>
          <w:lang w:val="ro-RO"/>
        </w:rPr>
        <w:t>inversat lucrurile</w:t>
      </w:r>
      <w:r w:rsidR="00E953E2" w:rsidRPr="00644D4E">
        <w:rPr>
          <w:rFonts w:ascii="Times New Roman" w:hAnsi="Times New Roman" w:cs="Times New Roman"/>
          <w:sz w:val="24"/>
          <w:szCs w:val="24"/>
          <w:lang w:val="ro-RO"/>
        </w:rPr>
        <w:t>, numărul persoanelor tinere este într-o creștere ușoară, iar a celor cu vârsta de 50+ este în scădere</w:t>
      </w:r>
      <w:r w:rsidR="00F76807" w:rsidRPr="00644D4E">
        <w:rPr>
          <w:rFonts w:ascii="Times New Roman" w:hAnsi="Times New Roman" w:cs="Times New Roman"/>
          <w:sz w:val="24"/>
          <w:szCs w:val="24"/>
          <w:lang w:val="ro-RO"/>
        </w:rPr>
        <w:t xml:space="preserve"> (Figura 2.3.1.1)</w:t>
      </w:r>
      <w:r w:rsidR="00E953E2" w:rsidRPr="00644D4E">
        <w:rPr>
          <w:rFonts w:ascii="Times New Roman" w:hAnsi="Times New Roman" w:cs="Times New Roman"/>
          <w:sz w:val="24"/>
          <w:szCs w:val="24"/>
          <w:lang w:val="ro-RO"/>
        </w:rPr>
        <w:t xml:space="preserve">. </w:t>
      </w:r>
    </w:p>
    <w:p w14:paraId="4B646290" w14:textId="77777777" w:rsidR="00C50972" w:rsidRPr="00644D4E" w:rsidRDefault="00C50972" w:rsidP="00CC2AF0">
      <w:pPr>
        <w:tabs>
          <w:tab w:val="left" w:leader="dot" w:pos="8505"/>
        </w:tabs>
        <w:autoSpaceDE w:val="0"/>
        <w:autoSpaceDN w:val="0"/>
        <w:adjustRightInd w:val="0"/>
        <w:spacing w:after="60" w:line="240" w:lineRule="auto"/>
        <w:ind w:left="284"/>
        <w:jc w:val="center"/>
        <w:rPr>
          <w:rFonts w:ascii="Times New Roman" w:hAnsi="Times New Roman" w:cs="Times New Roman"/>
          <w:b/>
          <w:i/>
          <w:lang w:val="ro-RO"/>
        </w:rPr>
      </w:pPr>
      <w:r w:rsidRPr="00644D4E">
        <w:rPr>
          <w:rFonts w:ascii="Times New Roman" w:hAnsi="Times New Roman" w:cs="Times New Roman"/>
          <w:b/>
          <w:i/>
          <w:lang w:val="ro-RO"/>
        </w:rPr>
        <w:t xml:space="preserve">Fig. 2.3.1.1. Șomeri înregistrați după vârstă și </w:t>
      </w:r>
      <w:r w:rsidR="005E22D6" w:rsidRPr="00644D4E">
        <w:rPr>
          <w:rFonts w:ascii="Times New Roman" w:hAnsi="Times New Roman" w:cs="Times New Roman"/>
          <w:b/>
          <w:i/>
          <w:lang w:val="ro-RO"/>
        </w:rPr>
        <w:t xml:space="preserve">nivelul de </w:t>
      </w:r>
      <w:r w:rsidRPr="00644D4E">
        <w:rPr>
          <w:rFonts w:ascii="Times New Roman" w:hAnsi="Times New Roman" w:cs="Times New Roman"/>
          <w:b/>
          <w:i/>
          <w:lang w:val="ro-RO"/>
        </w:rPr>
        <w:t>studii, %</w:t>
      </w:r>
    </w:p>
    <w:tbl>
      <w:tblPr>
        <w:tblStyle w:val="TableGrid"/>
        <w:tblW w:w="0" w:type="auto"/>
        <w:tblInd w:w="39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46"/>
        <w:gridCol w:w="4789"/>
      </w:tblGrid>
      <w:tr w:rsidR="00644D4E" w:rsidRPr="00644D4E" w14:paraId="051155BA" w14:textId="77777777" w:rsidTr="00EF68E3">
        <w:tc>
          <w:tcPr>
            <w:tcW w:w="4446" w:type="dxa"/>
          </w:tcPr>
          <w:p w14:paraId="65261663" w14:textId="77777777" w:rsidR="00C50972" w:rsidRPr="00644D4E" w:rsidRDefault="00C50972" w:rsidP="00CC2AF0">
            <w:pPr>
              <w:spacing w:after="60" w:line="240" w:lineRule="auto"/>
              <w:jc w:val="center"/>
              <w:rPr>
                <w:rFonts w:ascii="Times New Roman" w:hAnsi="Times New Roman" w:cs="Times New Roman"/>
                <w:b/>
                <w:i/>
                <w:lang w:val="ro-RO"/>
              </w:rPr>
            </w:pPr>
            <w:r w:rsidRPr="00644D4E">
              <w:rPr>
                <w:rFonts w:ascii="Times New Roman" w:hAnsi="Times New Roman" w:cs="Times New Roman"/>
                <w:b/>
                <w:i/>
                <w:lang w:val="ro-RO"/>
              </w:rPr>
              <w:drawing>
                <wp:inline distT="0" distB="0" distL="0" distR="0" wp14:anchorId="74501093" wp14:editId="3E98DF2C">
                  <wp:extent cx="2676525" cy="1943100"/>
                  <wp:effectExtent l="0" t="0" r="9525" b="0"/>
                  <wp:docPr id="2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789" w:type="dxa"/>
          </w:tcPr>
          <w:p w14:paraId="0135B946" w14:textId="77777777" w:rsidR="00C50972" w:rsidRPr="00644D4E" w:rsidRDefault="00C50972" w:rsidP="00CC2AF0">
            <w:pPr>
              <w:spacing w:after="60" w:line="240" w:lineRule="auto"/>
              <w:jc w:val="center"/>
              <w:rPr>
                <w:rFonts w:ascii="Times New Roman" w:hAnsi="Times New Roman" w:cs="Times New Roman"/>
                <w:b/>
                <w:i/>
                <w:lang w:val="ro-RO"/>
              </w:rPr>
            </w:pPr>
            <w:r w:rsidRPr="00644D4E">
              <w:rPr>
                <w:rFonts w:ascii="Times New Roman" w:hAnsi="Times New Roman" w:cs="Times New Roman"/>
                <w:b/>
                <w:i/>
                <w:lang w:val="ro-RO"/>
              </w:rPr>
              <w:drawing>
                <wp:inline distT="0" distB="0" distL="0" distR="0" wp14:anchorId="09B679EC" wp14:editId="38700B88">
                  <wp:extent cx="2847975" cy="1927860"/>
                  <wp:effectExtent l="0" t="0" r="9525" b="15240"/>
                  <wp:docPr id="2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bl>
    <w:p w14:paraId="051262E4" w14:textId="77777777" w:rsidR="00C50972" w:rsidRPr="00644D4E" w:rsidRDefault="008314CE" w:rsidP="00EF68E3">
      <w:pPr>
        <w:tabs>
          <w:tab w:val="left" w:leader="dot" w:pos="8505"/>
        </w:tabs>
        <w:autoSpaceDE w:val="0"/>
        <w:autoSpaceDN w:val="0"/>
        <w:adjustRightInd w:val="0"/>
        <w:spacing w:after="120" w:line="240" w:lineRule="auto"/>
        <w:ind w:left="284"/>
        <w:jc w:val="both"/>
        <w:rPr>
          <w:rFonts w:ascii="Times New Roman" w:hAnsi="Times New Roman" w:cs="Times New Roman"/>
          <w:sz w:val="16"/>
          <w:szCs w:val="16"/>
          <w:lang w:val="ro-RO"/>
        </w:rPr>
      </w:pPr>
      <w:r w:rsidRPr="00644D4E">
        <w:rPr>
          <w:rFonts w:ascii="Times New Roman" w:hAnsi="Times New Roman" w:cs="Times New Roman"/>
          <w:sz w:val="16"/>
          <w:szCs w:val="16"/>
          <w:lang w:val="ro-RO"/>
        </w:rPr>
        <w:t xml:space="preserve"> </w:t>
      </w:r>
      <w:r w:rsidR="00C50972" w:rsidRPr="00644D4E">
        <w:rPr>
          <w:rFonts w:ascii="Times New Roman" w:hAnsi="Times New Roman" w:cs="Times New Roman"/>
          <w:sz w:val="16"/>
          <w:szCs w:val="16"/>
          <w:lang w:val="ro-RO"/>
        </w:rPr>
        <w:t xml:space="preserve">   </w:t>
      </w:r>
      <w:r w:rsidR="00B76C33" w:rsidRPr="00644D4E">
        <w:rPr>
          <w:rFonts w:ascii="Times New Roman" w:hAnsi="Times New Roman" w:cs="Times New Roman"/>
          <w:sz w:val="16"/>
          <w:szCs w:val="16"/>
          <w:lang w:val="ro-RO"/>
        </w:rPr>
        <w:t xml:space="preserve">  </w:t>
      </w:r>
      <w:r w:rsidR="00EF68E3" w:rsidRPr="00644D4E">
        <w:rPr>
          <w:rFonts w:ascii="Times New Roman" w:hAnsi="Times New Roman" w:cs="Times New Roman"/>
          <w:sz w:val="16"/>
          <w:szCs w:val="16"/>
          <w:lang w:val="ro-RO"/>
        </w:rPr>
        <w:t xml:space="preserve"> </w:t>
      </w:r>
      <w:r w:rsidR="00C50972" w:rsidRPr="00644D4E">
        <w:rPr>
          <w:rFonts w:ascii="Times New Roman" w:hAnsi="Times New Roman" w:cs="Times New Roman"/>
          <w:sz w:val="16"/>
          <w:szCs w:val="16"/>
          <w:lang w:val="ro-RO"/>
        </w:rPr>
        <w:t>Sursa: Baza de date ANOFM</w:t>
      </w:r>
    </w:p>
    <w:p w14:paraId="2D688B25" w14:textId="77777777" w:rsidR="00C50972" w:rsidRPr="00644D4E" w:rsidRDefault="00661817" w:rsidP="00C50972">
      <w:pPr>
        <w:tabs>
          <w:tab w:val="left" w:leader="dot" w:pos="8505"/>
        </w:tabs>
        <w:autoSpaceDE w:val="0"/>
        <w:autoSpaceDN w:val="0"/>
        <w:adjustRightInd w:val="0"/>
        <w:spacing w:after="120" w:line="240" w:lineRule="auto"/>
        <w:jc w:val="both"/>
        <w:rPr>
          <w:rFonts w:asciiTheme="majorBidi" w:hAnsiTheme="majorBidi" w:cstheme="majorBidi"/>
          <w:sz w:val="24"/>
          <w:szCs w:val="24"/>
          <w:lang w:val="ro-RO"/>
        </w:rPr>
      </w:pPr>
      <w:r w:rsidRPr="00644D4E">
        <w:rPr>
          <w:rFonts w:asciiTheme="majorBidi" w:hAnsiTheme="majorBidi" w:cstheme="majorBidi"/>
          <w:sz w:val="24"/>
          <w:szCs w:val="24"/>
          <w:lang w:val="ro-RO"/>
        </w:rPr>
        <w:t>Examinând</w:t>
      </w:r>
      <w:r w:rsidR="00C50972" w:rsidRPr="00644D4E">
        <w:rPr>
          <w:rFonts w:asciiTheme="majorBidi" w:hAnsiTheme="majorBidi" w:cstheme="majorBidi"/>
          <w:sz w:val="24"/>
          <w:szCs w:val="24"/>
          <w:lang w:val="ro-RO"/>
        </w:rPr>
        <w:t xml:space="preserve"> structura șomerilor după studii se observă o preponderență a persoanelor cu </w:t>
      </w:r>
      <w:r w:rsidR="005E22D6" w:rsidRPr="00644D4E">
        <w:rPr>
          <w:rFonts w:asciiTheme="majorBidi" w:hAnsiTheme="majorBidi" w:cstheme="majorBidi"/>
          <w:sz w:val="24"/>
          <w:szCs w:val="24"/>
          <w:lang w:val="ro-RO"/>
        </w:rPr>
        <w:t>nivelul de studii primar/gimnazia</w:t>
      </w:r>
      <w:r w:rsidR="004665AC" w:rsidRPr="00644D4E">
        <w:rPr>
          <w:rFonts w:asciiTheme="majorBidi" w:hAnsiTheme="majorBidi" w:cstheme="majorBidi"/>
          <w:sz w:val="24"/>
          <w:szCs w:val="24"/>
          <w:lang w:val="ro-RO"/>
        </w:rPr>
        <w:t>l</w:t>
      </w:r>
      <w:r w:rsidR="00C50972" w:rsidRPr="00644D4E">
        <w:rPr>
          <w:rFonts w:asciiTheme="majorBidi" w:hAnsiTheme="majorBidi" w:cstheme="majorBidi"/>
          <w:sz w:val="24"/>
          <w:szCs w:val="24"/>
          <w:lang w:val="ro-RO"/>
        </w:rPr>
        <w:t xml:space="preserve"> </w:t>
      </w:r>
      <w:r w:rsidR="00CA49E2" w:rsidRPr="00644D4E">
        <w:rPr>
          <w:rFonts w:asciiTheme="majorBidi" w:hAnsiTheme="majorBidi" w:cstheme="majorBidi"/>
          <w:sz w:val="24"/>
          <w:szCs w:val="24"/>
          <w:lang w:val="ro-RO"/>
        </w:rPr>
        <w:t>–</w:t>
      </w:r>
      <w:r w:rsidR="00EE575D" w:rsidRPr="00644D4E">
        <w:rPr>
          <w:rFonts w:asciiTheme="majorBidi" w:hAnsiTheme="majorBidi" w:cstheme="majorBidi"/>
          <w:sz w:val="24"/>
          <w:szCs w:val="24"/>
          <w:lang w:val="ro-RO"/>
        </w:rPr>
        <w:t xml:space="preserve"> </w:t>
      </w:r>
      <w:r w:rsidR="001B3C3D" w:rsidRPr="00644D4E">
        <w:rPr>
          <w:rFonts w:asciiTheme="majorBidi" w:hAnsiTheme="majorBidi" w:cstheme="majorBidi"/>
          <w:b/>
          <w:sz w:val="24"/>
          <w:szCs w:val="24"/>
          <w:lang w:val="ro-RO"/>
        </w:rPr>
        <w:t>5</w:t>
      </w:r>
      <w:r w:rsidR="00F76807" w:rsidRPr="00644D4E">
        <w:rPr>
          <w:rFonts w:asciiTheme="majorBidi" w:hAnsiTheme="majorBidi" w:cstheme="majorBidi"/>
          <w:b/>
          <w:sz w:val="24"/>
          <w:szCs w:val="24"/>
          <w:lang w:val="ro-RO"/>
        </w:rPr>
        <w:t>3</w:t>
      </w:r>
      <w:r w:rsidR="00C50972" w:rsidRPr="00644D4E">
        <w:rPr>
          <w:rFonts w:asciiTheme="majorBidi" w:hAnsiTheme="majorBidi" w:cstheme="majorBidi"/>
          <w:b/>
          <w:sz w:val="24"/>
          <w:szCs w:val="24"/>
          <w:lang w:val="ro-RO"/>
        </w:rPr>
        <w:t>%</w:t>
      </w:r>
      <w:r w:rsidR="00C50972" w:rsidRPr="00644D4E">
        <w:rPr>
          <w:rFonts w:asciiTheme="majorBidi" w:hAnsiTheme="majorBidi" w:cstheme="majorBidi"/>
          <w:sz w:val="24"/>
          <w:szCs w:val="24"/>
          <w:lang w:val="ro-RO"/>
        </w:rPr>
        <w:t xml:space="preserve"> din total șomeri înregistrați. </w:t>
      </w:r>
      <w:r w:rsidR="00F76807" w:rsidRPr="00644D4E">
        <w:rPr>
          <w:rFonts w:asciiTheme="majorBidi" w:hAnsiTheme="majorBidi" w:cstheme="majorBidi"/>
          <w:sz w:val="24"/>
          <w:szCs w:val="24"/>
          <w:lang w:val="ro-RO"/>
        </w:rPr>
        <w:t>Comparativ cu anul precedent</w:t>
      </w:r>
      <w:r w:rsidR="00C50972" w:rsidRPr="00644D4E">
        <w:rPr>
          <w:rFonts w:asciiTheme="majorBidi" w:hAnsiTheme="majorBidi" w:cstheme="majorBidi"/>
          <w:sz w:val="24"/>
          <w:szCs w:val="24"/>
          <w:lang w:val="ro-RO"/>
        </w:rPr>
        <w:t xml:space="preserve"> </w:t>
      </w:r>
      <w:r w:rsidR="00166DDE" w:rsidRPr="00644D4E">
        <w:rPr>
          <w:rFonts w:asciiTheme="majorBidi" w:hAnsiTheme="majorBidi" w:cstheme="majorBidi"/>
          <w:sz w:val="24"/>
          <w:szCs w:val="24"/>
          <w:lang w:val="ro-RO"/>
        </w:rPr>
        <w:t xml:space="preserve">se observă un trend ascendent (Figura 2.3.1.1) </w:t>
      </w:r>
      <w:r w:rsidR="00C50972" w:rsidRPr="00644D4E">
        <w:rPr>
          <w:rFonts w:asciiTheme="majorBidi" w:hAnsiTheme="majorBidi" w:cstheme="majorBidi"/>
          <w:sz w:val="24"/>
          <w:szCs w:val="24"/>
          <w:lang w:val="ro-RO"/>
        </w:rPr>
        <w:t xml:space="preserve">a </w:t>
      </w:r>
      <w:r w:rsidR="00F76807" w:rsidRPr="00644D4E">
        <w:rPr>
          <w:rFonts w:asciiTheme="majorBidi" w:hAnsiTheme="majorBidi" w:cstheme="majorBidi"/>
          <w:sz w:val="24"/>
          <w:szCs w:val="24"/>
          <w:lang w:val="ro-RO"/>
        </w:rPr>
        <w:t xml:space="preserve">persoanelor cu studii superioare </w:t>
      </w:r>
      <w:r w:rsidR="00C50972" w:rsidRPr="00644D4E">
        <w:rPr>
          <w:rFonts w:asciiTheme="majorBidi" w:hAnsiTheme="majorBidi" w:cstheme="majorBidi"/>
          <w:sz w:val="24"/>
          <w:szCs w:val="24"/>
          <w:lang w:val="ro-RO"/>
        </w:rPr>
        <w:t xml:space="preserve">ce se adresează la serviciile STOFM </w:t>
      </w:r>
      <w:r w:rsidR="00F76807" w:rsidRPr="00644D4E">
        <w:rPr>
          <w:rFonts w:asciiTheme="majorBidi" w:hAnsiTheme="majorBidi" w:cstheme="majorBidi"/>
          <w:sz w:val="24"/>
          <w:szCs w:val="24"/>
          <w:lang w:val="ro-RO"/>
        </w:rPr>
        <w:t xml:space="preserve">(cu 3 </w:t>
      </w:r>
      <w:proofErr w:type="spellStart"/>
      <w:r w:rsidR="00F76807" w:rsidRPr="00644D4E">
        <w:rPr>
          <w:rFonts w:asciiTheme="majorBidi" w:hAnsiTheme="majorBidi" w:cstheme="majorBidi"/>
          <w:sz w:val="24"/>
          <w:szCs w:val="24"/>
          <w:lang w:val="ro-RO"/>
        </w:rPr>
        <w:t>p.p.</w:t>
      </w:r>
      <w:proofErr w:type="spellEnd"/>
      <w:r w:rsidR="00F76807" w:rsidRPr="00644D4E">
        <w:rPr>
          <w:rFonts w:asciiTheme="majorBidi" w:hAnsiTheme="majorBidi" w:cstheme="majorBidi"/>
          <w:sz w:val="24"/>
          <w:szCs w:val="24"/>
          <w:lang w:val="ro-RO"/>
        </w:rPr>
        <w:t>), și o scădere a</w:t>
      </w:r>
      <w:r w:rsidR="00C50972" w:rsidRPr="00644D4E">
        <w:rPr>
          <w:rFonts w:asciiTheme="majorBidi" w:hAnsiTheme="majorBidi" w:cstheme="majorBidi"/>
          <w:sz w:val="24"/>
          <w:szCs w:val="24"/>
          <w:lang w:val="ro-RO"/>
        </w:rPr>
        <w:t xml:space="preserve"> ponderii persoanelor cu </w:t>
      </w:r>
      <w:r w:rsidR="005E22D6" w:rsidRPr="00644D4E">
        <w:rPr>
          <w:rFonts w:asciiTheme="majorBidi" w:hAnsiTheme="majorBidi" w:cstheme="majorBidi"/>
          <w:sz w:val="24"/>
          <w:szCs w:val="24"/>
          <w:lang w:val="ro-RO"/>
        </w:rPr>
        <w:t xml:space="preserve">nivelul de </w:t>
      </w:r>
      <w:r w:rsidR="00C50972" w:rsidRPr="00644D4E">
        <w:rPr>
          <w:rFonts w:asciiTheme="majorBidi" w:hAnsiTheme="majorBidi" w:cstheme="majorBidi"/>
          <w:sz w:val="24"/>
          <w:szCs w:val="24"/>
          <w:lang w:val="ro-RO"/>
        </w:rPr>
        <w:t>studii primar/gimnazial</w:t>
      </w:r>
      <w:r w:rsidR="00F76807" w:rsidRPr="00644D4E">
        <w:rPr>
          <w:rFonts w:asciiTheme="majorBidi" w:hAnsiTheme="majorBidi" w:cstheme="majorBidi"/>
          <w:sz w:val="24"/>
          <w:szCs w:val="24"/>
          <w:lang w:val="ro-RO"/>
        </w:rPr>
        <w:t xml:space="preserve"> cu 5 </w:t>
      </w:r>
      <w:proofErr w:type="spellStart"/>
      <w:r w:rsidR="00F76807" w:rsidRPr="00644D4E">
        <w:rPr>
          <w:rFonts w:asciiTheme="majorBidi" w:hAnsiTheme="majorBidi" w:cstheme="majorBidi"/>
          <w:sz w:val="24"/>
          <w:szCs w:val="24"/>
          <w:lang w:val="ro-RO"/>
        </w:rPr>
        <w:t>p.p.</w:t>
      </w:r>
      <w:proofErr w:type="spellEnd"/>
      <w:r w:rsidR="00C50972" w:rsidRPr="00644D4E">
        <w:rPr>
          <w:rFonts w:asciiTheme="majorBidi" w:hAnsiTheme="majorBidi" w:cstheme="majorBidi"/>
          <w:sz w:val="24"/>
          <w:szCs w:val="24"/>
          <w:lang w:val="ro-RO"/>
        </w:rPr>
        <w:t xml:space="preserve"> </w:t>
      </w:r>
    </w:p>
    <w:p w14:paraId="1EAEDB7E" w14:textId="77777777" w:rsidR="00C50972" w:rsidRPr="00644D4E" w:rsidRDefault="00C50972" w:rsidP="00C50972">
      <w:pPr>
        <w:spacing w:after="120" w:line="240" w:lineRule="auto"/>
        <w:jc w:val="both"/>
        <w:rPr>
          <w:rFonts w:asciiTheme="majorBidi" w:hAnsiTheme="majorBidi" w:cstheme="majorBidi"/>
          <w:sz w:val="24"/>
          <w:szCs w:val="24"/>
          <w:lang w:val="ro-RO"/>
        </w:rPr>
      </w:pPr>
      <w:r w:rsidRPr="00644D4E">
        <w:rPr>
          <w:rFonts w:asciiTheme="majorBidi" w:hAnsiTheme="majorBidi" w:cstheme="majorBidi"/>
          <w:sz w:val="24"/>
          <w:szCs w:val="24"/>
          <w:lang w:val="ro-RO"/>
        </w:rPr>
        <w:t xml:space="preserve">Din numărul total al șomerilor înregistrați, </w:t>
      </w:r>
      <w:r w:rsidR="00296631" w:rsidRPr="00644D4E">
        <w:rPr>
          <w:rFonts w:asciiTheme="majorBidi" w:hAnsiTheme="majorBidi" w:cstheme="majorBidi"/>
          <w:b/>
          <w:sz w:val="24"/>
          <w:szCs w:val="24"/>
          <w:lang w:val="ro-RO"/>
        </w:rPr>
        <w:t>7</w:t>
      </w:r>
      <w:r w:rsidR="00D26472" w:rsidRPr="00644D4E">
        <w:rPr>
          <w:rFonts w:asciiTheme="majorBidi" w:hAnsiTheme="majorBidi" w:cstheme="majorBidi"/>
          <w:b/>
          <w:sz w:val="24"/>
          <w:szCs w:val="24"/>
          <w:lang w:val="ro-RO"/>
        </w:rPr>
        <w:t>3</w:t>
      </w:r>
      <w:r w:rsidRPr="00644D4E">
        <w:rPr>
          <w:rFonts w:asciiTheme="majorBidi" w:hAnsiTheme="majorBidi" w:cstheme="majorBidi"/>
          <w:b/>
          <w:sz w:val="24"/>
          <w:szCs w:val="24"/>
          <w:lang w:val="ro-RO"/>
        </w:rPr>
        <w:t>%</w:t>
      </w:r>
      <w:r w:rsidR="00A52A43" w:rsidRPr="00644D4E">
        <w:rPr>
          <w:rFonts w:asciiTheme="majorBidi" w:hAnsiTheme="majorBidi" w:cstheme="majorBidi"/>
          <w:b/>
          <w:sz w:val="24"/>
          <w:szCs w:val="24"/>
          <w:lang w:val="ro-RO"/>
        </w:rPr>
        <w:t xml:space="preserve"> </w:t>
      </w:r>
      <w:r w:rsidR="00A52A43" w:rsidRPr="00644D4E">
        <w:rPr>
          <w:rFonts w:asciiTheme="majorBidi" w:hAnsiTheme="majorBidi" w:cstheme="majorBidi"/>
          <w:sz w:val="24"/>
          <w:szCs w:val="24"/>
          <w:lang w:val="ro-RO"/>
        </w:rPr>
        <w:t>(</w:t>
      </w:r>
      <w:r w:rsidR="00D26472" w:rsidRPr="00644D4E">
        <w:rPr>
          <w:rFonts w:asciiTheme="majorBidi" w:hAnsiTheme="majorBidi" w:cstheme="majorBidi"/>
          <w:sz w:val="24"/>
          <w:szCs w:val="24"/>
          <w:lang w:val="ro-RO"/>
        </w:rPr>
        <w:t>19462</w:t>
      </w:r>
      <w:r w:rsidR="00A52A43" w:rsidRPr="00644D4E">
        <w:rPr>
          <w:rFonts w:asciiTheme="majorBidi" w:hAnsiTheme="majorBidi" w:cstheme="majorBidi"/>
          <w:sz w:val="24"/>
          <w:szCs w:val="24"/>
          <w:lang w:val="ro-RO"/>
        </w:rPr>
        <w:t xml:space="preserve"> persoane)</w:t>
      </w:r>
      <w:r w:rsidR="00296631" w:rsidRPr="00644D4E">
        <w:rPr>
          <w:rFonts w:asciiTheme="majorBidi" w:hAnsiTheme="majorBidi" w:cstheme="majorBidi"/>
          <w:b/>
          <w:sz w:val="24"/>
          <w:szCs w:val="24"/>
          <w:lang w:val="ro-RO"/>
        </w:rPr>
        <w:t xml:space="preserve"> </w:t>
      </w:r>
      <w:r w:rsidR="00296631" w:rsidRPr="00644D4E">
        <w:rPr>
          <w:rFonts w:asciiTheme="majorBidi" w:hAnsiTheme="majorBidi" w:cstheme="majorBidi"/>
          <w:sz w:val="24"/>
          <w:szCs w:val="24"/>
          <w:lang w:val="ro-RO"/>
        </w:rPr>
        <w:t>sunt persoanele, care au</w:t>
      </w:r>
      <w:r w:rsidRPr="00644D4E">
        <w:rPr>
          <w:rFonts w:asciiTheme="majorBidi" w:hAnsiTheme="majorBidi" w:cstheme="majorBidi"/>
          <w:sz w:val="24"/>
          <w:szCs w:val="24"/>
          <w:lang w:val="ro-RO"/>
        </w:rPr>
        <w:t xml:space="preserve"> provenit din muncă</w:t>
      </w:r>
      <w:r w:rsidR="00474497" w:rsidRPr="00644D4E">
        <w:rPr>
          <w:rFonts w:asciiTheme="majorBidi" w:hAnsiTheme="majorBidi" w:cstheme="majorBidi"/>
          <w:sz w:val="24"/>
          <w:szCs w:val="24"/>
          <w:lang w:val="ro-RO"/>
        </w:rPr>
        <w:t xml:space="preserve"> (5</w:t>
      </w:r>
      <w:r w:rsidR="00D26472" w:rsidRPr="00644D4E">
        <w:rPr>
          <w:rFonts w:asciiTheme="majorBidi" w:hAnsiTheme="majorBidi" w:cstheme="majorBidi"/>
          <w:sz w:val="24"/>
          <w:szCs w:val="24"/>
          <w:lang w:val="ro-RO"/>
        </w:rPr>
        <w:t>2</w:t>
      </w:r>
      <w:r w:rsidR="00474497" w:rsidRPr="00644D4E">
        <w:rPr>
          <w:rFonts w:asciiTheme="majorBidi" w:hAnsiTheme="majorBidi" w:cstheme="majorBidi"/>
          <w:sz w:val="24"/>
          <w:szCs w:val="24"/>
          <w:lang w:val="ro-RO"/>
        </w:rPr>
        <w:t xml:space="preserve">% </w:t>
      </w:r>
      <w:r w:rsidR="00CA49E2" w:rsidRPr="00644D4E">
        <w:rPr>
          <w:rFonts w:asciiTheme="majorBidi" w:hAnsiTheme="majorBidi" w:cstheme="majorBidi"/>
          <w:sz w:val="24"/>
          <w:szCs w:val="24"/>
          <w:lang w:val="ro-RO"/>
        </w:rPr>
        <w:t>–</w:t>
      </w:r>
      <w:r w:rsidR="00474497" w:rsidRPr="00644D4E">
        <w:rPr>
          <w:rFonts w:asciiTheme="majorBidi" w:hAnsiTheme="majorBidi" w:cstheme="majorBidi"/>
          <w:sz w:val="24"/>
          <w:szCs w:val="24"/>
          <w:lang w:val="ro-RO"/>
        </w:rPr>
        <w:t xml:space="preserve"> bărbați, 4</w:t>
      </w:r>
      <w:r w:rsidR="00D26472" w:rsidRPr="00644D4E">
        <w:rPr>
          <w:rFonts w:asciiTheme="majorBidi" w:hAnsiTheme="majorBidi" w:cstheme="majorBidi"/>
          <w:sz w:val="24"/>
          <w:szCs w:val="24"/>
          <w:lang w:val="ro-RO"/>
        </w:rPr>
        <w:t>8</w:t>
      </w:r>
      <w:r w:rsidR="00474497" w:rsidRPr="00644D4E">
        <w:rPr>
          <w:rFonts w:asciiTheme="majorBidi" w:hAnsiTheme="majorBidi" w:cstheme="majorBidi"/>
          <w:sz w:val="24"/>
          <w:szCs w:val="24"/>
          <w:lang w:val="ro-RO"/>
        </w:rPr>
        <w:t xml:space="preserve">% </w:t>
      </w:r>
      <w:r w:rsidR="00CA49E2" w:rsidRPr="00644D4E">
        <w:rPr>
          <w:rFonts w:asciiTheme="majorBidi" w:hAnsiTheme="majorBidi" w:cstheme="majorBidi"/>
          <w:sz w:val="24"/>
          <w:szCs w:val="24"/>
          <w:lang w:val="ro-RO"/>
        </w:rPr>
        <w:t>–</w:t>
      </w:r>
      <w:r w:rsidR="00474497" w:rsidRPr="00644D4E">
        <w:rPr>
          <w:rFonts w:asciiTheme="majorBidi" w:hAnsiTheme="majorBidi" w:cstheme="majorBidi"/>
          <w:sz w:val="24"/>
          <w:szCs w:val="24"/>
          <w:lang w:val="ro-RO"/>
        </w:rPr>
        <w:t xml:space="preserve"> femei)</w:t>
      </w:r>
      <w:r w:rsidRPr="00644D4E">
        <w:rPr>
          <w:rFonts w:asciiTheme="majorBidi" w:hAnsiTheme="majorBidi" w:cstheme="majorBidi"/>
          <w:sz w:val="24"/>
          <w:szCs w:val="24"/>
          <w:lang w:val="ro-RO"/>
        </w:rPr>
        <w:t xml:space="preserve">, iar </w:t>
      </w:r>
      <w:r w:rsidR="00D26472" w:rsidRPr="00644D4E">
        <w:rPr>
          <w:rFonts w:asciiTheme="majorBidi" w:hAnsiTheme="majorBidi" w:cstheme="majorBidi"/>
          <w:b/>
          <w:sz w:val="24"/>
          <w:szCs w:val="24"/>
          <w:lang w:val="ro-RO"/>
        </w:rPr>
        <w:t>27</w:t>
      </w:r>
      <w:r w:rsidRPr="00644D4E">
        <w:rPr>
          <w:rFonts w:asciiTheme="majorBidi" w:hAnsiTheme="majorBidi" w:cstheme="majorBidi"/>
          <w:b/>
          <w:sz w:val="24"/>
          <w:szCs w:val="24"/>
          <w:lang w:val="ro-RO"/>
        </w:rPr>
        <w:t>%</w:t>
      </w:r>
      <w:r w:rsidRPr="00644D4E">
        <w:rPr>
          <w:rFonts w:asciiTheme="majorBidi" w:hAnsiTheme="majorBidi" w:cstheme="majorBidi"/>
          <w:sz w:val="24"/>
          <w:szCs w:val="24"/>
          <w:lang w:val="ro-RO"/>
        </w:rPr>
        <w:t xml:space="preserve"> erau pentru prima dată în căutarea unui loc de muncă</w:t>
      </w:r>
      <w:r w:rsidR="00474497" w:rsidRPr="00644D4E">
        <w:rPr>
          <w:rFonts w:asciiTheme="majorBidi" w:hAnsiTheme="majorBidi" w:cstheme="majorBidi"/>
          <w:sz w:val="24"/>
          <w:szCs w:val="24"/>
          <w:lang w:val="ro-RO"/>
        </w:rPr>
        <w:t xml:space="preserve"> (52% </w:t>
      </w:r>
      <w:r w:rsidR="00CA49E2" w:rsidRPr="00644D4E">
        <w:rPr>
          <w:rFonts w:asciiTheme="majorBidi" w:hAnsiTheme="majorBidi" w:cstheme="majorBidi"/>
          <w:sz w:val="24"/>
          <w:szCs w:val="24"/>
          <w:lang w:val="ro-RO"/>
        </w:rPr>
        <w:t>–</w:t>
      </w:r>
      <w:r w:rsidR="00474497" w:rsidRPr="00644D4E">
        <w:rPr>
          <w:rFonts w:asciiTheme="majorBidi" w:hAnsiTheme="majorBidi" w:cstheme="majorBidi"/>
          <w:sz w:val="24"/>
          <w:szCs w:val="24"/>
          <w:lang w:val="ro-RO"/>
        </w:rPr>
        <w:t xml:space="preserve"> bărbați, 48% </w:t>
      </w:r>
      <w:r w:rsidR="00CA49E2" w:rsidRPr="00644D4E">
        <w:rPr>
          <w:rFonts w:asciiTheme="majorBidi" w:hAnsiTheme="majorBidi" w:cstheme="majorBidi"/>
          <w:sz w:val="24"/>
          <w:szCs w:val="24"/>
          <w:lang w:val="ro-RO"/>
        </w:rPr>
        <w:t>–</w:t>
      </w:r>
      <w:r w:rsidR="00474497" w:rsidRPr="00644D4E">
        <w:rPr>
          <w:rFonts w:asciiTheme="majorBidi" w:hAnsiTheme="majorBidi" w:cstheme="majorBidi"/>
          <w:sz w:val="24"/>
          <w:szCs w:val="24"/>
          <w:lang w:val="ro-RO"/>
        </w:rPr>
        <w:t xml:space="preserve"> femei)</w:t>
      </w:r>
      <w:r w:rsidRPr="00644D4E">
        <w:rPr>
          <w:rFonts w:asciiTheme="majorBidi" w:hAnsiTheme="majorBidi" w:cstheme="majorBidi"/>
          <w:sz w:val="24"/>
          <w:szCs w:val="24"/>
          <w:lang w:val="ro-RO"/>
        </w:rPr>
        <w:t xml:space="preserve">. Comparativ cu anul precedent, </w:t>
      </w:r>
      <w:r w:rsidR="00344C8D" w:rsidRPr="00644D4E">
        <w:rPr>
          <w:rFonts w:asciiTheme="majorBidi" w:hAnsiTheme="majorBidi" w:cstheme="majorBidi"/>
          <w:sz w:val="24"/>
          <w:szCs w:val="24"/>
          <w:lang w:val="ro-RO"/>
        </w:rPr>
        <w:t xml:space="preserve">a scăzut ponderea celor pentru prima dată în căutarea unui loc de muncă cu </w:t>
      </w:r>
      <w:r w:rsidR="00D26472" w:rsidRPr="00644D4E">
        <w:rPr>
          <w:rFonts w:asciiTheme="majorBidi" w:hAnsiTheme="majorBidi" w:cstheme="majorBidi"/>
          <w:sz w:val="24"/>
          <w:szCs w:val="24"/>
          <w:lang w:val="ro-RO"/>
        </w:rPr>
        <w:t>3</w:t>
      </w:r>
      <w:r w:rsidR="00344C8D" w:rsidRPr="00644D4E">
        <w:rPr>
          <w:rFonts w:asciiTheme="majorBidi" w:hAnsiTheme="majorBidi" w:cstheme="majorBidi"/>
          <w:sz w:val="24"/>
          <w:szCs w:val="24"/>
          <w:lang w:val="ro-RO"/>
        </w:rPr>
        <w:t xml:space="preserve"> </w:t>
      </w:r>
      <w:proofErr w:type="spellStart"/>
      <w:r w:rsidR="00344C8D" w:rsidRPr="00644D4E">
        <w:rPr>
          <w:rFonts w:asciiTheme="majorBidi" w:hAnsiTheme="majorBidi" w:cstheme="majorBidi"/>
          <w:sz w:val="24"/>
          <w:szCs w:val="24"/>
          <w:lang w:val="ro-RO"/>
        </w:rPr>
        <w:t>p.p.</w:t>
      </w:r>
      <w:proofErr w:type="spellEnd"/>
      <w:r w:rsidR="00344C8D" w:rsidRPr="00644D4E">
        <w:rPr>
          <w:rFonts w:asciiTheme="majorBidi" w:hAnsiTheme="majorBidi" w:cstheme="majorBidi"/>
          <w:sz w:val="24"/>
          <w:szCs w:val="24"/>
          <w:lang w:val="ro-RO"/>
        </w:rPr>
        <w:t xml:space="preserve"> și a crescut re</w:t>
      </w:r>
      <w:r w:rsidR="00296631" w:rsidRPr="00644D4E">
        <w:rPr>
          <w:rFonts w:asciiTheme="majorBidi" w:hAnsiTheme="majorBidi" w:cstheme="majorBidi"/>
          <w:sz w:val="24"/>
          <w:szCs w:val="24"/>
          <w:lang w:val="ro-RO"/>
        </w:rPr>
        <w:t>spectiv cei proveniți din muncă</w:t>
      </w:r>
      <w:r w:rsidR="00D26472" w:rsidRPr="00644D4E">
        <w:rPr>
          <w:rFonts w:asciiTheme="majorBidi" w:hAnsiTheme="majorBidi" w:cstheme="majorBidi"/>
          <w:sz w:val="24"/>
          <w:szCs w:val="24"/>
          <w:lang w:val="ro-RO"/>
        </w:rPr>
        <w:t>.</w:t>
      </w:r>
      <w:r w:rsidR="00296631" w:rsidRPr="00644D4E">
        <w:rPr>
          <w:rFonts w:asciiTheme="majorBidi" w:hAnsiTheme="majorBidi" w:cstheme="majorBidi"/>
          <w:sz w:val="24"/>
          <w:szCs w:val="24"/>
          <w:lang w:val="ro-RO"/>
        </w:rPr>
        <w:t xml:space="preserve"> </w:t>
      </w:r>
    </w:p>
    <w:p w14:paraId="35273901" w14:textId="6AFB7DB8" w:rsidR="008E29CA" w:rsidRPr="00644D4E" w:rsidRDefault="008E29CA" w:rsidP="008E29CA">
      <w:pPr>
        <w:spacing w:after="120" w:line="240" w:lineRule="auto"/>
        <w:jc w:val="both"/>
        <w:rPr>
          <w:rFonts w:asciiTheme="majorBidi" w:hAnsiTheme="majorBidi" w:cstheme="majorBidi"/>
          <w:sz w:val="24"/>
          <w:szCs w:val="24"/>
          <w:lang w:val="ro-RO"/>
        </w:rPr>
      </w:pPr>
      <w:r w:rsidRPr="00644D4E">
        <w:rPr>
          <w:rFonts w:asciiTheme="majorBidi" w:hAnsiTheme="majorBidi" w:cstheme="majorBidi"/>
          <w:sz w:val="24"/>
          <w:szCs w:val="24"/>
          <w:lang w:val="ro-RO"/>
        </w:rPr>
        <w:t>În distribuția șomerilor proveniți din muncă (</w:t>
      </w:r>
      <w:r w:rsidR="0083666F" w:rsidRPr="00644D4E">
        <w:rPr>
          <w:rFonts w:asciiTheme="majorBidi" w:hAnsiTheme="majorBidi" w:cstheme="majorBidi"/>
          <w:sz w:val="24"/>
          <w:szCs w:val="24"/>
          <w:lang w:val="ro-RO"/>
        </w:rPr>
        <w:t xml:space="preserve">19462 </w:t>
      </w:r>
      <w:r w:rsidRPr="00644D4E">
        <w:rPr>
          <w:rFonts w:asciiTheme="majorBidi" w:hAnsiTheme="majorBidi" w:cstheme="majorBidi"/>
          <w:sz w:val="24"/>
          <w:szCs w:val="24"/>
          <w:lang w:val="ro-RO"/>
        </w:rPr>
        <w:t>persoane) pe activități economice (după ultima angajare), se atestă ca cei mai mulți (Figura 2.3.1.4)</w:t>
      </w:r>
      <w:r w:rsidR="00F80B06" w:rsidRPr="00644D4E">
        <w:rPr>
          <w:rFonts w:asciiTheme="majorBidi" w:hAnsiTheme="majorBidi" w:cstheme="majorBidi"/>
          <w:sz w:val="24"/>
          <w:szCs w:val="24"/>
          <w:lang w:val="ro-RO"/>
        </w:rPr>
        <w:t xml:space="preserve"> </w:t>
      </w:r>
      <w:r w:rsidRPr="00644D4E">
        <w:rPr>
          <w:rFonts w:asciiTheme="majorBidi" w:hAnsiTheme="majorBidi" w:cstheme="majorBidi"/>
          <w:sz w:val="24"/>
          <w:szCs w:val="24"/>
          <w:lang w:val="ro-RO"/>
        </w:rPr>
        <w:t xml:space="preserve">au activat în </w:t>
      </w:r>
      <w:r w:rsidRPr="00644D4E">
        <w:rPr>
          <w:rFonts w:asciiTheme="majorBidi" w:hAnsiTheme="majorBidi" w:cstheme="majorBidi"/>
          <w:i/>
          <w:sz w:val="24"/>
          <w:szCs w:val="24"/>
          <w:lang w:val="ro-RO"/>
        </w:rPr>
        <w:t>Alte activități de servicii</w:t>
      </w:r>
      <w:r w:rsidRPr="00644D4E">
        <w:rPr>
          <w:rFonts w:asciiTheme="majorBidi" w:hAnsiTheme="majorBidi" w:cstheme="majorBidi"/>
          <w:sz w:val="24"/>
          <w:szCs w:val="24"/>
          <w:lang w:val="ro-RO"/>
        </w:rPr>
        <w:t xml:space="preserve"> (</w:t>
      </w:r>
      <w:r w:rsidRPr="00644D4E">
        <w:rPr>
          <w:rFonts w:asciiTheme="majorBidi" w:hAnsiTheme="majorBidi" w:cstheme="majorBidi"/>
          <w:b/>
          <w:sz w:val="24"/>
          <w:szCs w:val="24"/>
          <w:lang w:val="ro-RO"/>
        </w:rPr>
        <w:t>3</w:t>
      </w:r>
      <w:r w:rsidR="00E71313" w:rsidRPr="00644D4E">
        <w:rPr>
          <w:rFonts w:asciiTheme="majorBidi" w:hAnsiTheme="majorBidi" w:cstheme="majorBidi"/>
          <w:b/>
          <w:sz w:val="24"/>
          <w:szCs w:val="24"/>
          <w:lang w:val="ro-RO"/>
        </w:rPr>
        <w:t>5</w:t>
      </w:r>
      <w:r w:rsidRPr="00644D4E">
        <w:rPr>
          <w:rFonts w:asciiTheme="majorBidi" w:hAnsiTheme="majorBidi" w:cstheme="majorBidi"/>
          <w:b/>
          <w:sz w:val="24"/>
          <w:szCs w:val="24"/>
          <w:lang w:val="ro-RO"/>
        </w:rPr>
        <w:t>%</w:t>
      </w:r>
      <w:r w:rsidRPr="00644D4E">
        <w:rPr>
          <w:rFonts w:asciiTheme="majorBidi" w:hAnsiTheme="majorBidi" w:cstheme="majorBidi"/>
          <w:sz w:val="24"/>
          <w:szCs w:val="24"/>
          <w:lang w:val="ro-RO"/>
        </w:rPr>
        <w:t xml:space="preserve">), </w:t>
      </w:r>
      <w:r w:rsidRPr="00644D4E">
        <w:rPr>
          <w:rFonts w:asciiTheme="majorBidi" w:hAnsiTheme="majorBidi" w:cstheme="majorBidi"/>
          <w:i/>
          <w:sz w:val="24"/>
          <w:szCs w:val="24"/>
          <w:lang w:val="ro-RO"/>
        </w:rPr>
        <w:lastRenderedPageBreak/>
        <w:t>Agricultură, silvicultură și pescuit</w:t>
      </w:r>
      <w:r w:rsidR="00E71313" w:rsidRPr="00644D4E">
        <w:rPr>
          <w:rFonts w:asciiTheme="majorBidi" w:hAnsiTheme="majorBidi" w:cstheme="majorBidi"/>
          <w:i/>
          <w:sz w:val="24"/>
          <w:szCs w:val="24"/>
          <w:lang w:val="ro-RO"/>
        </w:rPr>
        <w:t xml:space="preserve"> </w:t>
      </w:r>
      <w:r w:rsidR="00E71313" w:rsidRPr="00644D4E">
        <w:rPr>
          <w:rFonts w:asciiTheme="majorBidi" w:hAnsiTheme="majorBidi" w:cstheme="majorBidi"/>
          <w:sz w:val="24"/>
          <w:szCs w:val="24"/>
          <w:lang w:val="ro-RO"/>
        </w:rPr>
        <w:t>(</w:t>
      </w:r>
      <w:r w:rsidR="00E71313" w:rsidRPr="00644D4E">
        <w:rPr>
          <w:rFonts w:asciiTheme="majorBidi" w:hAnsiTheme="majorBidi" w:cstheme="majorBidi"/>
          <w:b/>
          <w:sz w:val="24"/>
          <w:szCs w:val="24"/>
          <w:lang w:val="ro-RO"/>
        </w:rPr>
        <w:t>11%</w:t>
      </w:r>
      <w:r w:rsidR="00E71313" w:rsidRPr="00644D4E">
        <w:rPr>
          <w:rFonts w:asciiTheme="majorBidi" w:hAnsiTheme="majorBidi" w:cstheme="majorBidi"/>
          <w:sz w:val="24"/>
          <w:szCs w:val="24"/>
          <w:lang w:val="ro-RO"/>
        </w:rPr>
        <w:t>)</w:t>
      </w:r>
      <w:r w:rsidR="00E71313" w:rsidRPr="00644D4E">
        <w:rPr>
          <w:rFonts w:asciiTheme="majorBidi" w:hAnsiTheme="majorBidi" w:cstheme="majorBidi"/>
          <w:i/>
          <w:sz w:val="24"/>
          <w:szCs w:val="24"/>
          <w:lang w:val="ro-RO"/>
        </w:rPr>
        <w:t xml:space="preserve"> și</w:t>
      </w:r>
      <w:r w:rsidRPr="00644D4E">
        <w:rPr>
          <w:rFonts w:asciiTheme="majorBidi" w:hAnsiTheme="majorBidi" w:cstheme="majorBidi"/>
          <w:i/>
          <w:sz w:val="24"/>
          <w:szCs w:val="24"/>
          <w:lang w:val="ro-RO"/>
        </w:rPr>
        <w:t xml:space="preserve"> Administrație publică și apărare</w:t>
      </w:r>
      <w:r w:rsidRPr="00644D4E">
        <w:rPr>
          <w:rFonts w:asciiTheme="majorBidi" w:hAnsiTheme="majorBidi" w:cstheme="majorBidi"/>
          <w:sz w:val="24"/>
          <w:szCs w:val="24"/>
          <w:lang w:val="ro-RO"/>
        </w:rPr>
        <w:t xml:space="preserve"> </w:t>
      </w:r>
      <w:r w:rsidR="00E71313" w:rsidRPr="00644D4E">
        <w:rPr>
          <w:rFonts w:asciiTheme="majorBidi" w:hAnsiTheme="majorBidi" w:cstheme="majorBidi"/>
          <w:sz w:val="24"/>
          <w:szCs w:val="24"/>
          <w:lang w:val="ro-RO"/>
        </w:rPr>
        <w:t xml:space="preserve">cu </w:t>
      </w:r>
      <w:r w:rsidRPr="00644D4E">
        <w:rPr>
          <w:rFonts w:asciiTheme="majorBidi" w:hAnsiTheme="majorBidi" w:cstheme="majorBidi"/>
          <w:b/>
          <w:sz w:val="24"/>
          <w:szCs w:val="24"/>
          <w:lang w:val="ro-RO"/>
        </w:rPr>
        <w:t>1</w:t>
      </w:r>
      <w:r w:rsidR="007D2B13" w:rsidRPr="00644D4E">
        <w:rPr>
          <w:rFonts w:asciiTheme="majorBidi" w:hAnsiTheme="majorBidi" w:cstheme="majorBidi"/>
          <w:b/>
          <w:sz w:val="24"/>
          <w:szCs w:val="24"/>
          <w:lang w:val="ro-RO"/>
        </w:rPr>
        <w:t>0</w:t>
      </w:r>
      <w:r w:rsidRPr="00644D4E">
        <w:rPr>
          <w:rFonts w:asciiTheme="majorBidi" w:hAnsiTheme="majorBidi" w:cstheme="majorBidi"/>
          <w:b/>
          <w:sz w:val="24"/>
          <w:szCs w:val="24"/>
          <w:lang w:val="ro-RO"/>
        </w:rPr>
        <w:t>%</w:t>
      </w:r>
      <w:r w:rsidRPr="00644D4E">
        <w:rPr>
          <w:rFonts w:asciiTheme="majorBidi" w:hAnsiTheme="majorBidi" w:cstheme="majorBidi"/>
          <w:sz w:val="24"/>
          <w:szCs w:val="24"/>
          <w:lang w:val="ro-RO"/>
        </w:rPr>
        <w:t>. Comparativ cu anul 202</w:t>
      </w:r>
      <w:r w:rsidR="00E71313" w:rsidRPr="00644D4E">
        <w:rPr>
          <w:rFonts w:asciiTheme="majorBidi" w:hAnsiTheme="majorBidi" w:cstheme="majorBidi"/>
          <w:sz w:val="24"/>
          <w:szCs w:val="24"/>
          <w:lang w:val="ro-RO"/>
        </w:rPr>
        <w:t>2</w:t>
      </w:r>
      <w:r w:rsidRPr="00644D4E">
        <w:rPr>
          <w:rFonts w:asciiTheme="majorBidi" w:hAnsiTheme="majorBidi" w:cstheme="majorBidi"/>
          <w:sz w:val="24"/>
          <w:szCs w:val="24"/>
          <w:lang w:val="ro-RO"/>
        </w:rPr>
        <w:t xml:space="preserve">, ca pondere din numărul total al persoanelor provenite din muncă </w:t>
      </w:r>
      <w:r w:rsidR="00E71313" w:rsidRPr="00644D4E">
        <w:rPr>
          <w:rFonts w:asciiTheme="majorBidi" w:hAnsiTheme="majorBidi" w:cstheme="majorBidi"/>
          <w:sz w:val="24"/>
          <w:szCs w:val="24"/>
          <w:lang w:val="ro-RO"/>
        </w:rPr>
        <w:t>nu sunt schimb</w:t>
      </w:r>
      <w:r w:rsidR="004730B4" w:rsidRPr="00644D4E">
        <w:rPr>
          <w:rFonts w:asciiTheme="majorBidi" w:hAnsiTheme="majorBidi" w:cstheme="majorBidi"/>
          <w:sz w:val="24"/>
          <w:szCs w:val="24"/>
          <w:lang w:val="ro-RO"/>
        </w:rPr>
        <w:t>ă</w:t>
      </w:r>
      <w:r w:rsidR="00E71313" w:rsidRPr="00644D4E">
        <w:rPr>
          <w:rFonts w:asciiTheme="majorBidi" w:hAnsiTheme="majorBidi" w:cstheme="majorBidi"/>
          <w:sz w:val="24"/>
          <w:szCs w:val="24"/>
          <w:lang w:val="ro-RO"/>
        </w:rPr>
        <w:t>ri semnificative</w:t>
      </w:r>
      <w:r w:rsidRPr="00644D4E">
        <w:rPr>
          <w:rFonts w:asciiTheme="majorBidi" w:hAnsiTheme="majorBidi" w:cstheme="majorBidi"/>
          <w:sz w:val="24"/>
          <w:szCs w:val="24"/>
          <w:lang w:val="ro-RO"/>
        </w:rPr>
        <w:t>.</w:t>
      </w:r>
    </w:p>
    <w:p w14:paraId="3CC2B919" w14:textId="77777777" w:rsidR="008E29CA" w:rsidRPr="00644D4E" w:rsidRDefault="008E29CA" w:rsidP="00CC2AF0">
      <w:pPr>
        <w:spacing w:after="60" w:line="240" w:lineRule="auto"/>
        <w:ind w:left="284"/>
        <w:jc w:val="center"/>
        <w:rPr>
          <w:rFonts w:ascii="Times New Roman" w:hAnsi="Times New Roman" w:cs="Times New Roman"/>
          <w:b/>
          <w:i/>
          <w:lang w:val="ro-RO"/>
        </w:rPr>
      </w:pPr>
      <w:r w:rsidRPr="00644D4E">
        <w:rPr>
          <w:rFonts w:ascii="Times New Roman" w:hAnsi="Times New Roman" w:cs="Times New Roman"/>
          <w:b/>
          <w:i/>
          <w:lang w:val="ro-RO"/>
        </w:rPr>
        <w:t>Fig. 2.3.1.4. Șomeri înregistrați pe activități economice (după ultima angajare), %</w:t>
      </w:r>
    </w:p>
    <w:p w14:paraId="1543D6D7" w14:textId="77777777" w:rsidR="008E29CA" w:rsidRPr="00644D4E" w:rsidRDefault="008E29CA" w:rsidP="00CC2AF0">
      <w:pPr>
        <w:spacing w:after="60" w:line="240" w:lineRule="auto"/>
        <w:ind w:left="284"/>
        <w:jc w:val="center"/>
        <w:rPr>
          <w:rFonts w:ascii="Times New Roman" w:hAnsi="Times New Roman" w:cs="Times New Roman"/>
          <w:sz w:val="24"/>
          <w:szCs w:val="24"/>
          <w:lang w:val="ro-RO"/>
        </w:rPr>
      </w:pPr>
      <w:r w:rsidRPr="00644D4E">
        <w:rPr>
          <w:rFonts w:ascii="Times New Roman" w:hAnsi="Times New Roman" w:cs="Times New Roman"/>
          <w:sz w:val="24"/>
          <w:szCs w:val="24"/>
          <w:lang w:val="ro-RO"/>
        </w:rPr>
        <w:drawing>
          <wp:inline distT="0" distB="0" distL="0" distR="0" wp14:anchorId="3D772E1B" wp14:editId="2030A983">
            <wp:extent cx="4925695" cy="2645664"/>
            <wp:effectExtent l="0" t="0" r="8255" b="2540"/>
            <wp:docPr id="2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695B904" w14:textId="77777777" w:rsidR="008E29CA" w:rsidRPr="00644D4E" w:rsidRDefault="008E29CA" w:rsidP="008E29CA">
      <w:pPr>
        <w:spacing w:after="120" w:line="276" w:lineRule="auto"/>
        <w:ind w:left="284"/>
        <w:jc w:val="both"/>
        <w:rPr>
          <w:rFonts w:ascii="Times New Roman" w:hAnsi="Times New Roman" w:cs="Times New Roman"/>
          <w:sz w:val="24"/>
          <w:szCs w:val="24"/>
          <w:lang w:val="ro-RO"/>
        </w:rPr>
      </w:pPr>
      <w:r w:rsidRPr="00644D4E">
        <w:rPr>
          <w:rFonts w:ascii="Times New Roman" w:hAnsi="Times New Roman" w:cs="Times New Roman"/>
          <w:sz w:val="16"/>
          <w:szCs w:val="16"/>
          <w:lang w:val="ro-RO"/>
        </w:rPr>
        <w:t xml:space="preserve">                    Sursa: Baza de date ANOFM</w:t>
      </w:r>
    </w:p>
    <w:p w14:paraId="18E7B02A" w14:textId="77777777" w:rsidR="006A75EC" w:rsidRPr="00644D4E" w:rsidRDefault="000C5C00" w:rsidP="000C5C00">
      <w:pPr>
        <w:spacing w:after="120" w:line="240" w:lineRule="auto"/>
        <w:jc w:val="both"/>
        <w:rPr>
          <w:rFonts w:ascii="Times New Roman" w:hAnsi="Times New Roman" w:cs="Times New Roman"/>
          <w:sz w:val="24"/>
          <w:szCs w:val="24"/>
          <w:lang w:val="ro-RO"/>
        </w:rPr>
      </w:pPr>
      <w:r w:rsidRPr="00644D4E">
        <w:rPr>
          <w:rFonts w:ascii="Times New Roman" w:hAnsi="Times New Roman" w:cs="Times New Roman"/>
          <w:sz w:val="24"/>
          <w:szCs w:val="24"/>
          <w:lang w:val="ro-RO"/>
        </w:rPr>
        <w:t>Din total proveniți din muncă (</w:t>
      </w:r>
      <w:r w:rsidR="009F1329" w:rsidRPr="00644D4E">
        <w:rPr>
          <w:rFonts w:ascii="Times New Roman" w:hAnsi="Times New Roman" w:cs="Times New Roman"/>
          <w:sz w:val="24"/>
          <w:szCs w:val="24"/>
          <w:lang w:val="ro-RO"/>
        </w:rPr>
        <w:t>19462</w:t>
      </w:r>
      <w:r w:rsidRPr="00644D4E">
        <w:rPr>
          <w:rFonts w:ascii="Times New Roman" w:hAnsi="Times New Roman" w:cs="Times New Roman"/>
          <w:sz w:val="24"/>
          <w:szCs w:val="24"/>
          <w:lang w:val="ro-RO"/>
        </w:rPr>
        <w:t xml:space="preserve">), </w:t>
      </w:r>
      <w:r w:rsidRPr="00644D4E">
        <w:rPr>
          <w:rFonts w:ascii="Times New Roman" w:hAnsi="Times New Roman" w:cs="Times New Roman"/>
          <w:b/>
          <w:sz w:val="24"/>
          <w:szCs w:val="24"/>
          <w:lang w:val="ro-RO"/>
        </w:rPr>
        <w:t>8</w:t>
      </w:r>
      <w:r w:rsidR="009F1329" w:rsidRPr="00644D4E">
        <w:rPr>
          <w:rFonts w:ascii="Times New Roman" w:hAnsi="Times New Roman" w:cs="Times New Roman"/>
          <w:b/>
          <w:sz w:val="24"/>
          <w:szCs w:val="24"/>
          <w:lang w:val="ro-RO"/>
        </w:rPr>
        <w:t>1</w:t>
      </w:r>
      <w:r w:rsidRPr="00644D4E">
        <w:rPr>
          <w:rFonts w:ascii="Times New Roman" w:hAnsi="Times New Roman" w:cs="Times New Roman"/>
          <w:b/>
          <w:sz w:val="24"/>
          <w:szCs w:val="24"/>
          <w:lang w:val="ro-RO"/>
        </w:rPr>
        <w:t xml:space="preserve">% </w:t>
      </w:r>
      <w:r w:rsidRPr="00644D4E">
        <w:rPr>
          <w:rFonts w:ascii="Times New Roman" w:hAnsi="Times New Roman" w:cs="Times New Roman"/>
          <w:sz w:val="24"/>
          <w:szCs w:val="24"/>
          <w:lang w:val="ro-RO"/>
        </w:rPr>
        <w:t xml:space="preserve">erau muncitori și </w:t>
      </w:r>
      <w:r w:rsidRPr="00644D4E">
        <w:rPr>
          <w:rFonts w:ascii="Times New Roman" w:hAnsi="Times New Roman" w:cs="Times New Roman"/>
          <w:b/>
          <w:sz w:val="24"/>
          <w:szCs w:val="24"/>
          <w:lang w:val="ro-RO"/>
        </w:rPr>
        <w:t>1</w:t>
      </w:r>
      <w:r w:rsidR="009F1329" w:rsidRPr="00644D4E">
        <w:rPr>
          <w:rFonts w:ascii="Times New Roman" w:hAnsi="Times New Roman" w:cs="Times New Roman"/>
          <w:b/>
          <w:sz w:val="24"/>
          <w:szCs w:val="24"/>
          <w:lang w:val="ro-RO"/>
        </w:rPr>
        <w:t>9</w:t>
      </w:r>
      <w:r w:rsidRPr="00644D4E">
        <w:rPr>
          <w:rFonts w:ascii="Times New Roman" w:hAnsi="Times New Roman" w:cs="Times New Roman"/>
          <w:b/>
          <w:sz w:val="24"/>
          <w:szCs w:val="24"/>
          <w:lang w:val="ro-RO"/>
        </w:rPr>
        <w:t>%</w:t>
      </w:r>
      <w:r w:rsidRPr="00644D4E">
        <w:rPr>
          <w:rFonts w:ascii="Times New Roman" w:hAnsi="Times New Roman" w:cs="Times New Roman"/>
          <w:sz w:val="24"/>
          <w:szCs w:val="24"/>
          <w:lang w:val="ro-RO"/>
        </w:rPr>
        <w:t xml:space="preserve"> - slujbași. </w:t>
      </w:r>
      <w:r w:rsidR="009F1329" w:rsidRPr="00644D4E">
        <w:rPr>
          <w:rFonts w:ascii="Times New Roman" w:hAnsi="Times New Roman" w:cs="Times New Roman"/>
          <w:sz w:val="24"/>
          <w:szCs w:val="24"/>
          <w:lang w:val="ro-RO"/>
        </w:rPr>
        <w:t xml:space="preserve">Comparativ cu anul precedent, a scăzut ponderea muncitorilor cu 2 </w:t>
      </w:r>
      <w:proofErr w:type="spellStart"/>
      <w:r w:rsidR="009F1329" w:rsidRPr="00644D4E">
        <w:rPr>
          <w:rFonts w:ascii="Times New Roman" w:hAnsi="Times New Roman" w:cs="Times New Roman"/>
          <w:sz w:val="24"/>
          <w:szCs w:val="24"/>
          <w:lang w:val="ro-RO"/>
        </w:rPr>
        <w:t>p.p.</w:t>
      </w:r>
      <w:proofErr w:type="spellEnd"/>
      <w:r w:rsidR="009F1329" w:rsidRPr="00644D4E">
        <w:rPr>
          <w:rFonts w:ascii="Times New Roman" w:hAnsi="Times New Roman" w:cs="Times New Roman"/>
          <w:sz w:val="24"/>
          <w:szCs w:val="24"/>
          <w:lang w:val="ro-RO"/>
        </w:rPr>
        <w:t xml:space="preserve"> și respectiv a crescut </w:t>
      </w:r>
      <w:r w:rsidR="00746756" w:rsidRPr="00644D4E">
        <w:rPr>
          <w:rFonts w:ascii="Times New Roman" w:hAnsi="Times New Roman" w:cs="Times New Roman"/>
          <w:sz w:val="24"/>
          <w:szCs w:val="24"/>
          <w:lang w:val="ro-RO"/>
        </w:rPr>
        <w:t xml:space="preserve">cea a </w:t>
      </w:r>
      <w:r w:rsidR="009F1329" w:rsidRPr="00644D4E">
        <w:rPr>
          <w:rFonts w:ascii="Times New Roman" w:hAnsi="Times New Roman" w:cs="Times New Roman"/>
          <w:sz w:val="24"/>
          <w:szCs w:val="24"/>
          <w:lang w:val="ro-RO"/>
        </w:rPr>
        <w:t xml:space="preserve">slujbașilor. </w:t>
      </w:r>
    </w:p>
    <w:p w14:paraId="0B5DE958" w14:textId="77777777" w:rsidR="00C50972" w:rsidRPr="00644D4E" w:rsidRDefault="00C50972" w:rsidP="00C50972">
      <w:pPr>
        <w:tabs>
          <w:tab w:val="left" w:leader="dot" w:pos="8505"/>
        </w:tabs>
        <w:autoSpaceDE w:val="0"/>
        <w:autoSpaceDN w:val="0"/>
        <w:adjustRightInd w:val="0"/>
        <w:spacing w:after="120" w:line="240" w:lineRule="auto"/>
        <w:jc w:val="both"/>
        <w:rPr>
          <w:rFonts w:ascii="Times New Roman" w:hAnsi="Times New Roman" w:cs="Times New Roman"/>
          <w:sz w:val="24"/>
          <w:szCs w:val="24"/>
          <w:lang w:val="ro-RO"/>
        </w:rPr>
      </w:pPr>
      <w:r w:rsidRPr="00644D4E">
        <w:rPr>
          <w:rFonts w:ascii="Times New Roman" w:hAnsi="Times New Roman" w:cs="Times New Roman"/>
          <w:sz w:val="24"/>
          <w:szCs w:val="24"/>
          <w:lang w:val="ro-RO"/>
        </w:rPr>
        <w:t>În distribuția pe sexe, se constată că ponderea femeilor (</w:t>
      </w:r>
      <w:r w:rsidRPr="00644D4E">
        <w:rPr>
          <w:rFonts w:ascii="Times New Roman" w:hAnsi="Times New Roman" w:cs="Times New Roman"/>
          <w:b/>
          <w:sz w:val="24"/>
          <w:szCs w:val="24"/>
          <w:lang w:val="ro-RO"/>
        </w:rPr>
        <w:t>4</w:t>
      </w:r>
      <w:r w:rsidR="00D43B5D" w:rsidRPr="00644D4E">
        <w:rPr>
          <w:rFonts w:ascii="Times New Roman" w:hAnsi="Times New Roman" w:cs="Times New Roman"/>
          <w:b/>
          <w:sz w:val="24"/>
          <w:szCs w:val="24"/>
          <w:lang w:val="ro-RO"/>
        </w:rPr>
        <w:t>8</w:t>
      </w:r>
      <w:r w:rsidRPr="00644D4E">
        <w:rPr>
          <w:rFonts w:ascii="Times New Roman" w:hAnsi="Times New Roman" w:cs="Times New Roman"/>
          <w:b/>
          <w:sz w:val="24"/>
          <w:szCs w:val="24"/>
          <w:lang w:val="ro-RO"/>
        </w:rPr>
        <w:t>%</w:t>
      </w:r>
      <w:r w:rsidRPr="00644D4E">
        <w:rPr>
          <w:rFonts w:ascii="Times New Roman" w:hAnsi="Times New Roman" w:cs="Times New Roman"/>
          <w:sz w:val="24"/>
          <w:szCs w:val="24"/>
          <w:lang w:val="ro-RO"/>
        </w:rPr>
        <w:t>) s-a situat în perioada analizată sub cea înregistrată în rândul bărbaților (</w:t>
      </w:r>
      <w:r w:rsidRPr="00644D4E">
        <w:rPr>
          <w:rFonts w:ascii="Times New Roman" w:hAnsi="Times New Roman" w:cs="Times New Roman"/>
          <w:b/>
          <w:sz w:val="24"/>
          <w:szCs w:val="24"/>
          <w:lang w:val="ro-RO"/>
        </w:rPr>
        <w:t>5</w:t>
      </w:r>
      <w:r w:rsidR="00D43B5D" w:rsidRPr="00644D4E">
        <w:rPr>
          <w:rFonts w:ascii="Times New Roman" w:hAnsi="Times New Roman" w:cs="Times New Roman"/>
          <w:b/>
          <w:sz w:val="24"/>
          <w:szCs w:val="24"/>
          <w:lang w:val="ro-RO"/>
        </w:rPr>
        <w:t>2</w:t>
      </w:r>
      <w:r w:rsidRPr="00644D4E">
        <w:rPr>
          <w:rFonts w:ascii="Times New Roman" w:hAnsi="Times New Roman" w:cs="Times New Roman"/>
          <w:b/>
          <w:sz w:val="24"/>
          <w:szCs w:val="24"/>
          <w:lang w:val="ro-RO"/>
        </w:rPr>
        <w:t>%</w:t>
      </w:r>
      <w:r w:rsidRPr="00644D4E">
        <w:rPr>
          <w:rFonts w:ascii="Times New Roman" w:hAnsi="Times New Roman" w:cs="Times New Roman"/>
          <w:sz w:val="24"/>
          <w:szCs w:val="24"/>
          <w:lang w:val="ro-RO"/>
        </w:rPr>
        <w:t>)</w:t>
      </w:r>
      <w:r w:rsidR="00D43B5D" w:rsidRPr="00644D4E">
        <w:rPr>
          <w:rFonts w:ascii="Times New Roman" w:hAnsi="Times New Roman" w:cs="Times New Roman"/>
          <w:sz w:val="24"/>
          <w:szCs w:val="24"/>
          <w:lang w:val="ro-RO"/>
        </w:rPr>
        <w:t>. C</w:t>
      </w:r>
      <w:r w:rsidRPr="00644D4E">
        <w:rPr>
          <w:rFonts w:ascii="Times New Roman" w:hAnsi="Times New Roman" w:cs="Times New Roman"/>
          <w:sz w:val="24"/>
          <w:szCs w:val="24"/>
          <w:lang w:val="ro-RO"/>
        </w:rPr>
        <w:t xml:space="preserve">omparativ cu anul precedent în aspect de gen, </w:t>
      </w:r>
      <w:r w:rsidR="00D43B5D" w:rsidRPr="00644D4E">
        <w:rPr>
          <w:rFonts w:ascii="Times New Roman" w:hAnsi="Times New Roman" w:cs="Times New Roman"/>
          <w:sz w:val="24"/>
          <w:szCs w:val="24"/>
          <w:lang w:val="ro-RO"/>
        </w:rPr>
        <w:t xml:space="preserve">a scăzut </w:t>
      </w:r>
      <w:r w:rsidR="00A52A43" w:rsidRPr="00644D4E">
        <w:rPr>
          <w:rFonts w:ascii="Times New Roman" w:hAnsi="Times New Roman" w:cs="Times New Roman"/>
          <w:sz w:val="24"/>
          <w:szCs w:val="24"/>
          <w:lang w:val="ro-RO"/>
        </w:rPr>
        <w:t>ponderea bărbaților (de la 5</w:t>
      </w:r>
      <w:r w:rsidR="00D43B5D" w:rsidRPr="00644D4E">
        <w:rPr>
          <w:rFonts w:ascii="Times New Roman" w:hAnsi="Times New Roman" w:cs="Times New Roman"/>
          <w:sz w:val="24"/>
          <w:szCs w:val="24"/>
          <w:lang w:val="ro-RO"/>
        </w:rPr>
        <w:t>3</w:t>
      </w:r>
      <w:r w:rsidR="00A52A43" w:rsidRPr="00644D4E">
        <w:rPr>
          <w:rFonts w:ascii="Times New Roman" w:hAnsi="Times New Roman" w:cs="Times New Roman"/>
          <w:sz w:val="24"/>
          <w:szCs w:val="24"/>
          <w:lang w:val="ro-RO"/>
        </w:rPr>
        <w:t>% la 5</w:t>
      </w:r>
      <w:r w:rsidR="00D43B5D" w:rsidRPr="00644D4E">
        <w:rPr>
          <w:rFonts w:ascii="Times New Roman" w:hAnsi="Times New Roman" w:cs="Times New Roman"/>
          <w:sz w:val="24"/>
          <w:szCs w:val="24"/>
          <w:lang w:val="ro-RO"/>
        </w:rPr>
        <w:t>2</w:t>
      </w:r>
      <w:r w:rsidR="00A52A43" w:rsidRPr="00644D4E">
        <w:rPr>
          <w:rFonts w:ascii="Times New Roman" w:hAnsi="Times New Roman" w:cs="Times New Roman"/>
          <w:sz w:val="24"/>
          <w:szCs w:val="24"/>
          <w:lang w:val="ro-RO"/>
        </w:rPr>
        <w:t>%), care se adresează în căutarea unui loc de muncă</w:t>
      </w:r>
      <w:r w:rsidR="00D43B5D" w:rsidRPr="00644D4E">
        <w:rPr>
          <w:rFonts w:ascii="Times New Roman" w:hAnsi="Times New Roman" w:cs="Times New Roman"/>
          <w:sz w:val="24"/>
          <w:szCs w:val="24"/>
          <w:lang w:val="ro-RO"/>
        </w:rPr>
        <w:t xml:space="preserve"> și a crescut cea a femeilor de la 47% la 48%</w:t>
      </w:r>
      <w:r w:rsidR="00A52A43" w:rsidRPr="00644D4E">
        <w:rPr>
          <w:rFonts w:ascii="Times New Roman" w:hAnsi="Times New Roman" w:cs="Times New Roman"/>
          <w:sz w:val="24"/>
          <w:szCs w:val="24"/>
          <w:lang w:val="ro-RO"/>
        </w:rPr>
        <w:t xml:space="preserve">. </w:t>
      </w:r>
    </w:p>
    <w:p w14:paraId="2CCD7D48" w14:textId="77777777" w:rsidR="00C50972" w:rsidRPr="00644D4E" w:rsidRDefault="00C50972" w:rsidP="00713091">
      <w:pPr>
        <w:spacing w:after="120" w:line="240" w:lineRule="auto"/>
        <w:jc w:val="both"/>
        <w:rPr>
          <w:rFonts w:ascii="Times New Roman" w:hAnsi="Times New Roman" w:cs="Times New Roman"/>
          <w:sz w:val="24"/>
          <w:szCs w:val="24"/>
          <w:lang w:val="ro-RO"/>
        </w:rPr>
      </w:pPr>
      <w:r w:rsidRPr="00644D4E">
        <w:rPr>
          <w:rFonts w:ascii="Times New Roman" w:hAnsi="Times New Roman" w:cs="Times New Roman"/>
          <w:sz w:val="24"/>
          <w:szCs w:val="24"/>
          <w:lang w:val="ro-RO"/>
        </w:rPr>
        <w:t>Evoluția lunară a șomajului înregistrat în anul 202</w:t>
      </w:r>
      <w:r w:rsidR="00EF5023" w:rsidRPr="00644D4E">
        <w:rPr>
          <w:rFonts w:ascii="Times New Roman" w:hAnsi="Times New Roman" w:cs="Times New Roman"/>
          <w:sz w:val="24"/>
          <w:szCs w:val="24"/>
          <w:lang w:val="ro-RO"/>
        </w:rPr>
        <w:t>3</w:t>
      </w:r>
      <w:r w:rsidRPr="00644D4E">
        <w:rPr>
          <w:rFonts w:ascii="Times New Roman" w:hAnsi="Times New Roman" w:cs="Times New Roman"/>
          <w:sz w:val="24"/>
          <w:szCs w:val="24"/>
          <w:lang w:val="ro-RO"/>
        </w:rPr>
        <w:t xml:space="preserve"> evidențiază o scădere lentă a acestuia </w:t>
      </w:r>
      <w:r w:rsidR="00631DDE" w:rsidRPr="00644D4E">
        <w:rPr>
          <w:rFonts w:ascii="Times New Roman" w:hAnsi="Times New Roman" w:cs="Times New Roman"/>
          <w:sz w:val="24"/>
          <w:szCs w:val="24"/>
          <w:lang w:val="ro-RO"/>
        </w:rPr>
        <w:t xml:space="preserve">până </w:t>
      </w:r>
      <w:r w:rsidRPr="00644D4E">
        <w:rPr>
          <w:rFonts w:ascii="Times New Roman" w:hAnsi="Times New Roman" w:cs="Times New Roman"/>
          <w:sz w:val="24"/>
          <w:szCs w:val="24"/>
          <w:lang w:val="ro-RO"/>
        </w:rPr>
        <w:t>în lun</w:t>
      </w:r>
      <w:r w:rsidR="00631DDE" w:rsidRPr="00644D4E">
        <w:rPr>
          <w:rFonts w:ascii="Times New Roman" w:hAnsi="Times New Roman" w:cs="Times New Roman"/>
          <w:sz w:val="24"/>
          <w:szCs w:val="24"/>
          <w:lang w:val="ro-RO"/>
        </w:rPr>
        <w:t>a</w:t>
      </w:r>
      <w:r w:rsidRPr="00644D4E">
        <w:rPr>
          <w:rFonts w:ascii="Times New Roman" w:hAnsi="Times New Roman" w:cs="Times New Roman"/>
          <w:sz w:val="24"/>
          <w:szCs w:val="24"/>
          <w:lang w:val="ro-RO"/>
        </w:rPr>
        <w:t xml:space="preserve"> aprilie, </w:t>
      </w:r>
      <w:r w:rsidR="00631DDE" w:rsidRPr="00644D4E">
        <w:rPr>
          <w:rFonts w:ascii="Times New Roman" w:hAnsi="Times New Roman" w:cs="Times New Roman"/>
          <w:sz w:val="24"/>
          <w:szCs w:val="24"/>
          <w:lang w:val="ro-RO"/>
        </w:rPr>
        <w:t xml:space="preserve">după care în perioada caldă a anului </w:t>
      </w:r>
      <w:r w:rsidR="00463724" w:rsidRPr="00644D4E">
        <w:rPr>
          <w:rFonts w:ascii="Times New Roman" w:hAnsi="Times New Roman" w:cs="Times New Roman"/>
          <w:sz w:val="24"/>
          <w:szCs w:val="24"/>
          <w:lang w:val="ro-RO"/>
        </w:rPr>
        <w:t xml:space="preserve">numărul șomerilor a fost mai mic, datorită lucrărilor sezoniere, </w:t>
      </w:r>
      <w:r w:rsidR="00631DDE" w:rsidRPr="00644D4E">
        <w:rPr>
          <w:rFonts w:ascii="Times New Roman" w:hAnsi="Times New Roman" w:cs="Times New Roman"/>
          <w:sz w:val="24"/>
          <w:szCs w:val="24"/>
          <w:lang w:val="ro-RO"/>
        </w:rPr>
        <w:t xml:space="preserve">iar începând cu luna </w:t>
      </w:r>
      <w:r w:rsidR="00463724" w:rsidRPr="00644D4E">
        <w:rPr>
          <w:rFonts w:ascii="Times New Roman" w:hAnsi="Times New Roman" w:cs="Times New Roman"/>
          <w:sz w:val="24"/>
          <w:szCs w:val="24"/>
          <w:lang w:val="ro-RO"/>
        </w:rPr>
        <w:t xml:space="preserve">septembrie numărul șomerilor care s-au înregistrat la subdiviziunile teritoriale de ocupare a forței de muncă (Figura 2.3.1.2) a fost în creștere.  </w:t>
      </w:r>
    </w:p>
    <w:p w14:paraId="624C025B" w14:textId="77777777" w:rsidR="00C50972" w:rsidRPr="00644D4E" w:rsidRDefault="00C50972" w:rsidP="00CC2AF0">
      <w:pPr>
        <w:spacing w:after="60" w:line="240" w:lineRule="auto"/>
        <w:ind w:left="284"/>
        <w:jc w:val="center"/>
        <w:rPr>
          <w:rFonts w:ascii="Times New Roman" w:hAnsi="Times New Roman" w:cs="Times New Roman"/>
          <w:b/>
          <w:i/>
          <w:lang w:val="ro-RO"/>
        </w:rPr>
      </w:pPr>
      <w:r w:rsidRPr="00644D4E">
        <w:rPr>
          <w:rFonts w:ascii="Times New Roman" w:hAnsi="Times New Roman" w:cs="Times New Roman"/>
          <w:b/>
          <w:i/>
          <w:lang w:val="ro-RO"/>
        </w:rPr>
        <w:t>Fig. 2.3.1.2. Șomeri înregistrați în 202</w:t>
      </w:r>
      <w:r w:rsidR="00EF5023" w:rsidRPr="00644D4E">
        <w:rPr>
          <w:rFonts w:ascii="Times New Roman" w:hAnsi="Times New Roman" w:cs="Times New Roman"/>
          <w:b/>
          <w:i/>
          <w:lang w:val="ro-RO"/>
        </w:rPr>
        <w:t>3</w:t>
      </w:r>
      <w:r w:rsidRPr="00644D4E">
        <w:rPr>
          <w:rFonts w:ascii="Times New Roman" w:hAnsi="Times New Roman" w:cs="Times New Roman"/>
          <w:b/>
          <w:i/>
          <w:lang w:val="ro-RO"/>
        </w:rPr>
        <w:t xml:space="preserve"> pe luni, pers.</w:t>
      </w:r>
    </w:p>
    <w:p w14:paraId="190336AD" w14:textId="77777777" w:rsidR="00C50972" w:rsidRPr="00644D4E" w:rsidRDefault="00C50972" w:rsidP="00C50972">
      <w:pPr>
        <w:tabs>
          <w:tab w:val="left" w:leader="dot" w:pos="8505"/>
        </w:tabs>
        <w:autoSpaceDE w:val="0"/>
        <w:autoSpaceDN w:val="0"/>
        <w:adjustRightInd w:val="0"/>
        <w:spacing w:before="40" w:after="40" w:line="240" w:lineRule="auto"/>
        <w:ind w:left="284"/>
        <w:jc w:val="center"/>
        <w:rPr>
          <w:rFonts w:ascii="Times New Roman" w:hAnsi="Times New Roman" w:cs="Times New Roman"/>
          <w:sz w:val="24"/>
          <w:szCs w:val="24"/>
          <w:lang w:val="ro-RO"/>
        </w:rPr>
      </w:pPr>
      <w:r w:rsidRPr="00644D4E">
        <w:rPr>
          <w:rFonts w:ascii="Times New Roman" w:hAnsi="Times New Roman" w:cs="Times New Roman"/>
          <w:sz w:val="24"/>
          <w:szCs w:val="24"/>
          <w:lang w:val="ro-RO"/>
        </w:rPr>
        <w:drawing>
          <wp:inline distT="0" distB="0" distL="0" distR="0" wp14:anchorId="05E3C90E" wp14:editId="0EA4D5FC">
            <wp:extent cx="4584804" cy="1889449"/>
            <wp:effectExtent l="0" t="0" r="6350" b="15875"/>
            <wp:docPr id="2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B55479E" w14:textId="77777777" w:rsidR="00C50972" w:rsidRPr="00644D4E" w:rsidRDefault="00C50972" w:rsidP="00C50972">
      <w:pPr>
        <w:tabs>
          <w:tab w:val="left" w:leader="dot" w:pos="8505"/>
        </w:tabs>
        <w:autoSpaceDE w:val="0"/>
        <w:autoSpaceDN w:val="0"/>
        <w:adjustRightInd w:val="0"/>
        <w:spacing w:after="120" w:line="276" w:lineRule="auto"/>
        <w:ind w:left="284"/>
        <w:jc w:val="both"/>
        <w:rPr>
          <w:rFonts w:ascii="Times New Roman" w:hAnsi="Times New Roman" w:cs="Times New Roman"/>
          <w:sz w:val="16"/>
          <w:szCs w:val="16"/>
          <w:lang w:val="ro-RO"/>
        </w:rPr>
      </w:pPr>
      <w:r w:rsidRPr="00644D4E">
        <w:rPr>
          <w:rFonts w:ascii="Times New Roman" w:hAnsi="Times New Roman" w:cs="Times New Roman"/>
          <w:sz w:val="16"/>
          <w:szCs w:val="16"/>
          <w:lang w:val="ro-RO"/>
        </w:rPr>
        <w:t xml:space="preserve">                          Sursa: Baza de date ANOFM</w:t>
      </w:r>
    </w:p>
    <w:p w14:paraId="01A937CB" w14:textId="77777777" w:rsidR="00470156" w:rsidRPr="00644D4E" w:rsidRDefault="00C50972" w:rsidP="00F0779A">
      <w:pPr>
        <w:spacing w:after="120" w:line="240" w:lineRule="auto"/>
        <w:ind w:left="284"/>
        <w:jc w:val="both"/>
        <w:rPr>
          <w:rFonts w:ascii="Times New Roman" w:hAnsi="Times New Roman" w:cs="Times New Roman"/>
          <w:i/>
          <w:sz w:val="24"/>
          <w:szCs w:val="24"/>
          <w:lang w:val="ro-RO"/>
        </w:rPr>
      </w:pPr>
      <w:r w:rsidRPr="00644D4E">
        <w:rPr>
          <w:rFonts w:ascii="Times New Roman" w:hAnsi="Times New Roman" w:cs="Times New Roman"/>
          <w:sz w:val="24"/>
          <w:szCs w:val="24"/>
          <w:lang w:val="ro-RO"/>
        </w:rPr>
        <w:t>După medii de reședință ponderea persoanelor din mediul rural (</w:t>
      </w:r>
      <w:r w:rsidRPr="00644D4E">
        <w:rPr>
          <w:rFonts w:ascii="Times New Roman" w:hAnsi="Times New Roman" w:cs="Times New Roman"/>
          <w:b/>
          <w:sz w:val="24"/>
          <w:szCs w:val="24"/>
          <w:lang w:val="ro-RO"/>
        </w:rPr>
        <w:t>6</w:t>
      </w:r>
      <w:r w:rsidR="00375D71" w:rsidRPr="00644D4E">
        <w:rPr>
          <w:rFonts w:ascii="Times New Roman" w:hAnsi="Times New Roman" w:cs="Times New Roman"/>
          <w:b/>
          <w:sz w:val="24"/>
          <w:szCs w:val="24"/>
          <w:lang w:val="ro-RO"/>
        </w:rPr>
        <w:t>3</w:t>
      </w:r>
      <w:r w:rsidRPr="00644D4E">
        <w:rPr>
          <w:rFonts w:ascii="Times New Roman" w:hAnsi="Times New Roman" w:cs="Times New Roman"/>
          <w:b/>
          <w:sz w:val="24"/>
          <w:szCs w:val="24"/>
          <w:lang w:val="ro-RO"/>
        </w:rPr>
        <w:t>%</w:t>
      </w:r>
      <w:r w:rsidRPr="00644D4E">
        <w:rPr>
          <w:rFonts w:ascii="Times New Roman" w:hAnsi="Times New Roman" w:cs="Times New Roman"/>
          <w:sz w:val="24"/>
          <w:szCs w:val="24"/>
          <w:lang w:val="ro-RO"/>
        </w:rPr>
        <w:t>) a fost superioară celei din mediul urban (</w:t>
      </w:r>
      <w:r w:rsidRPr="00644D4E">
        <w:rPr>
          <w:rFonts w:ascii="Times New Roman" w:hAnsi="Times New Roman" w:cs="Times New Roman"/>
          <w:b/>
          <w:sz w:val="24"/>
          <w:szCs w:val="24"/>
          <w:lang w:val="ro-RO"/>
        </w:rPr>
        <w:t>3</w:t>
      </w:r>
      <w:r w:rsidR="00375D71" w:rsidRPr="00644D4E">
        <w:rPr>
          <w:rFonts w:ascii="Times New Roman" w:hAnsi="Times New Roman" w:cs="Times New Roman"/>
          <w:b/>
          <w:sz w:val="24"/>
          <w:szCs w:val="24"/>
          <w:lang w:val="ro-RO"/>
        </w:rPr>
        <w:t>7</w:t>
      </w:r>
      <w:r w:rsidRPr="00644D4E">
        <w:rPr>
          <w:rFonts w:ascii="Times New Roman" w:hAnsi="Times New Roman" w:cs="Times New Roman"/>
          <w:b/>
          <w:sz w:val="24"/>
          <w:szCs w:val="24"/>
          <w:lang w:val="ro-RO"/>
        </w:rPr>
        <w:t>%</w:t>
      </w:r>
      <w:r w:rsidRPr="00644D4E">
        <w:rPr>
          <w:rFonts w:ascii="Times New Roman" w:hAnsi="Times New Roman" w:cs="Times New Roman"/>
          <w:sz w:val="24"/>
          <w:szCs w:val="24"/>
          <w:lang w:val="ro-RO"/>
        </w:rPr>
        <w:t>). Comparativ cu anul 202</w:t>
      </w:r>
      <w:r w:rsidR="00375D71" w:rsidRPr="00644D4E">
        <w:rPr>
          <w:rFonts w:ascii="Times New Roman" w:hAnsi="Times New Roman" w:cs="Times New Roman"/>
          <w:sz w:val="24"/>
          <w:szCs w:val="24"/>
          <w:lang w:val="ro-RO"/>
        </w:rPr>
        <w:t>2</w:t>
      </w:r>
      <w:r w:rsidR="004730B4" w:rsidRPr="00644D4E">
        <w:rPr>
          <w:rFonts w:ascii="Times New Roman" w:hAnsi="Times New Roman" w:cs="Times New Roman"/>
          <w:sz w:val="24"/>
          <w:szCs w:val="24"/>
          <w:lang w:val="ro-RO"/>
        </w:rPr>
        <w:t>,</w:t>
      </w:r>
      <w:r w:rsidRPr="00644D4E">
        <w:rPr>
          <w:rFonts w:ascii="Times New Roman" w:hAnsi="Times New Roman" w:cs="Times New Roman"/>
          <w:sz w:val="24"/>
          <w:szCs w:val="24"/>
          <w:lang w:val="ro-RO"/>
        </w:rPr>
        <w:t xml:space="preserve"> ponderea șomerilor din mediul rural </w:t>
      </w:r>
      <w:r w:rsidR="00375D71" w:rsidRPr="00644D4E">
        <w:rPr>
          <w:rFonts w:ascii="Times New Roman" w:hAnsi="Times New Roman" w:cs="Times New Roman"/>
          <w:sz w:val="24"/>
          <w:szCs w:val="24"/>
          <w:lang w:val="ro-RO"/>
        </w:rPr>
        <w:t>a scăzut</w:t>
      </w:r>
      <w:r w:rsidRPr="00644D4E">
        <w:rPr>
          <w:rFonts w:ascii="Times New Roman" w:hAnsi="Times New Roman" w:cs="Times New Roman"/>
          <w:sz w:val="24"/>
          <w:szCs w:val="24"/>
          <w:lang w:val="ro-RO"/>
        </w:rPr>
        <w:t xml:space="preserve"> cu </w:t>
      </w:r>
      <w:r w:rsidR="00375D71" w:rsidRPr="00644D4E">
        <w:rPr>
          <w:rFonts w:ascii="Times New Roman" w:hAnsi="Times New Roman" w:cs="Times New Roman"/>
          <w:sz w:val="24"/>
          <w:szCs w:val="24"/>
          <w:lang w:val="ro-RO"/>
        </w:rPr>
        <w:t>3</w:t>
      </w:r>
      <w:r w:rsidRPr="00644D4E">
        <w:rPr>
          <w:rFonts w:ascii="Times New Roman" w:hAnsi="Times New Roman" w:cs="Times New Roman"/>
          <w:sz w:val="24"/>
          <w:szCs w:val="24"/>
          <w:lang w:val="ro-RO"/>
        </w:rPr>
        <w:t xml:space="preserve"> </w:t>
      </w:r>
      <w:proofErr w:type="spellStart"/>
      <w:r w:rsidRPr="00644D4E">
        <w:rPr>
          <w:rFonts w:ascii="Times New Roman" w:hAnsi="Times New Roman" w:cs="Times New Roman"/>
          <w:sz w:val="24"/>
          <w:szCs w:val="24"/>
          <w:lang w:val="ro-RO"/>
        </w:rPr>
        <w:t>p.p</w:t>
      </w:r>
      <w:r w:rsidR="00146F25" w:rsidRPr="00644D4E">
        <w:rPr>
          <w:rFonts w:ascii="Times New Roman" w:hAnsi="Times New Roman" w:cs="Times New Roman"/>
          <w:sz w:val="24"/>
          <w:szCs w:val="24"/>
          <w:lang w:val="ro-RO"/>
        </w:rPr>
        <w:t>.</w:t>
      </w:r>
      <w:proofErr w:type="spellEnd"/>
      <w:r w:rsidR="00146F25" w:rsidRPr="00644D4E">
        <w:rPr>
          <w:rFonts w:ascii="Times New Roman" w:hAnsi="Times New Roman" w:cs="Times New Roman"/>
          <w:sz w:val="24"/>
          <w:szCs w:val="24"/>
          <w:lang w:val="ro-RO"/>
        </w:rPr>
        <w:t xml:space="preserve"> </w:t>
      </w:r>
      <w:r w:rsidR="00375D71" w:rsidRPr="00644D4E">
        <w:rPr>
          <w:rFonts w:ascii="Times New Roman" w:hAnsi="Times New Roman" w:cs="Times New Roman"/>
          <w:sz w:val="24"/>
          <w:szCs w:val="24"/>
          <w:lang w:val="ro-RO"/>
        </w:rPr>
        <w:t xml:space="preserve">Dinamica ultimilor </w:t>
      </w:r>
      <w:r w:rsidR="004730B4" w:rsidRPr="00644D4E">
        <w:rPr>
          <w:rFonts w:ascii="Times New Roman" w:hAnsi="Times New Roman" w:cs="Times New Roman"/>
          <w:sz w:val="24"/>
          <w:szCs w:val="24"/>
          <w:lang w:val="ro-RO"/>
        </w:rPr>
        <w:t xml:space="preserve">ani </w:t>
      </w:r>
      <w:r w:rsidR="00375D71" w:rsidRPr="00644D4E">
        <w:rPr>
          <w:rFonts w:ascii="Times New Roman" w:hAnsi="Times New Roman" w:cs="Times New Roman"/>
          <w:sz w:val="24"/>
          <w:szCs w:val="24"/>
          <w:lang w:val="ro-RO"/>
        </w:rPr>
        <w:t xml:space="preserve">atestă o tendință de creștere a ponderii șomerilor din mediul rural, 2023 fiind o excepție. </w:t>
      </w:r>
      <w:r w:rsidRPr="00644D4E">
        <w:rPr>
          <w:rFonts w:ascii="Times New Roman" w:hAnsi="Times New Roman" w:cs="Times New Roman"/>
          <w:sz w:val="24"/>
          <w:szCs w:val="24"/>
          <w:lang w:val="ro-RO"/>
        </w:rPr>
        <w:t xml:space="preserve">Situația șomajului înregistrat diferă de la un raion la altul, evoluțiile nefavorabile ale acestuia fiind determinate, în principal, de dezvoltarea economică inegală la nivel teritorial. După </w:t>
      </w:r>
      <w:r w:rsidR="00015903" w:rsidRPr="00644D4E">
        <w:rPr>
          <w:rFonts w:ascii="Times New Roman" w:hAnsi="Times New Roman" w:cs="Times New Roman"/>
          <w:sz w:val="24"/>
          <w:szCs w:val="24"/>
          <w:lang w:val="ro-RO"/>
        </w:rPr>
        <w:t>regiuni</w:t>
      </w:r>
      <w:r w:rsidRPr="00644D4E">
        <w:rPr>
          <w:rFonts w:ascii="Times New Roman" w:hAnsi="Times New Roman" w:cs="Times New Roman"/>
          <w:sz w:val="24"/>
          <w:szCs w:val="24"/>
          <w:lang w:val="ro-RO"/>
        </w:rPr>
        <w:t xml:space="preserve"> </w:t>
      </w:r>
      <w:r w:rsidR="00930715" w:rsidRPr="00644D4E">
        <w:rPr>
          <w:rFonts w:ascii="Times New Roman" w:hAnsi="Times New Roman" w:cs="Times New Roman"/>
          <w:sz w:val="24"/>
          <w:szCs w:val="24"/>
          <w:lang w:val="ro-RO"/>
        </w:rPr>
        <w:t xml:space="preserve">statistice </w:t>
      </w:r>
      <w:r w:rsidRPr="00644D4E">
        <w:rPr>
          <w:rFonts w:ascii="Times New Roman" w:hAnsi="Times New Roman" w:cs="Times New Roman"/>
          <w:sz w:val="24"/>
          <w:szCs w:val="24"/>
          <w:lang w:val="ro-RO"/>
        </w:rPr>
        <w:t>(Figura 2.3.1.3), cei mai mulți șomeri s-au înregistrat în zona Nord (</w:t>
      </w:r>
      <w:r w:rsidR="001742DA" w:rsidRPr="00644D4E">
        <w:rPr>
          <w:rFonts w:ascii="Times New Roman" w:hAnsi="Times New Roman" w:cs="Times New Roman"/>
          <w:b/>
          <w:sz w:val="24"/>
          <w:szCs w:val="24"/>
          <w:lang w:val="ro-RO"/>
        </w:rPr>
        <w:t>37</w:t>
      </w:r>
      <w:r w:rsidRPr="00644D4E">
        <w:rPr>
          <w:rFonts w:ascii="Times New Roman" w:hAnsi="Times New Roman" w:cs="Times New Roman"/>
          <w:b/>
          <w:sz w:val="24"/>
          <w:szCs w:val="24"/>
          <w:lang w:val="ro-RO"/>
        </w:rPr>
        <w:t>%</w:t>
      </w:r>
      <w:r w:rsidRPr="00644D4E">
        <w:rPr>
          <w:rFonts w:ascii="Times New Roman" w:hAnsi="Times New Roman" w:cs="Times New Roman"/>
          <w:sz w:val="24"/>
          <w:szCs w:val="24"/>
          <w:lang w:val="ro-RO"/>
        </w:rPr>
        <w:t xml:space="preserve">), </w:t>
      </w:r>
      <w:r w:rsidRPr="00644D4E">
        <w:rPr>
          <w:rFonts w:ascii="Times New Roman" w:hAnsi="Times New Roman" w:cs="Times New Roman"/>
          <w:sz w:val="24"/>
          <w:szCs w:val="24"/>
          <w:lang w:val="ro-RO"/>
        </w:rPr>
        <w:lastRenderedPageBreak/>
        <w:t>iar cei mai puțini în mun. Chișinău (</w:t>
      </w:r>
      <w:r w:rsidR="001742DA" w:rsidRPr="00644D4E">
        <w:rPr>
          <w:rFonts w:ascii="Times New Roman" w:hAnsi="Times New Roman" w:cs="Times New Roman"/>
          <w:b/>
          <w:sz w:val="24"/>
          <w:szCs w:val="24"/>
          <w:lang w:val="ro-RO"/>
        </w:rPr>
        <w:t>11</w:t>
      </w:r>
      <w:r w:rsidRPr="00644D4E">
        <w:rPr>
          <w:rFonts w:ascii="Times New Roman" w:hAnsi="Times New Roman" w:cs="Times New Roman"/>
          <w:b/>
          <w:sz w:val="24"/>
          <w:szCs w:val="24"/>
          <w:lang w:val="ro-RO"/>
        </w:rPr>
        <w:t>%</w:t>
      </w:r>
      <w:r w:rsidRPr="00644D4E">
        <w:rPr>
          <w:rFonts w:ascii="Times New Roman" w:hAnsi="Times New Roman" w:cs="Times New Roman"/>
          <w:sz w:val="24"/>
          <w:szCs w:val="24"/>
          <w:lang w:val="ro-RO"/>
        </w:rPr>
        <w:t>). Comparativ cu anul 202</w:t>
      </w:r>
      <w:r w:rsidR="00F0779A" w:rsidRPr="00644D4E">
        <w:rPr>
          <w:rFonts w:ascii="Times New Roman" w:hAnsi="Times New Roman" w:cs="Times New Roman"/>
          <w:sz w:val="24"/>
          <w:szCs w:val="24"/>
          <w:lang w:val="ro-RO"/>
        </w:rPr>
        <w:t>2</w:t>
      </w:r>
      <w:r w:rsidRPr="00644D4E">
        <w:rPr>
          <w:rFonts w:ascii="Times New Roman" w:hAnsi="Times New Roman" w:cs="Times New Roman"/>
          <w:sz w:val="24"/>
          <w:szCs w:val="24"/>
          <w:lang w:val="ro-RO"/>
        </w:rPr>
        <w:t xml:space="preserve">, </w:t>
      </w:r>
      <w:r w:rsidR="004730B4" w:rsidRPr="00644D4E">
        <w:rPr>
          <w:rFonts w:ascii="Times New Roman" w:hAnsi="Times New Roman" w:cs="Times New Roman"/>
          <w:sz w:val="24"/>
          <w:szCs w:val="24"/>
          <w:lang w:val="ro-RO"/>
        </w:rPr>
        <w:t xml:space="preserve">în aspect regional, </w:t>
      </w:r>
      <w:r w:rsidR="001742DA" w:rsidRPr="00644D4E">
        <w:rPr>
          <w:rFonts w:ascii="Times New Roman" w:hAnsi="Times New Roman" w:cs="Times New Roman"/>
          <w:sz w:val="24"/>
          <w:szCs w:val="24"/>
          <w:lang w:val="ro-RO"/>
        </w:rPr>
        <w:t xml:space="preserve">avem o creștere în mun. Chișinău (2 </w:t>
      </w:r>
      <w:proofErr w:type="spellStart"/>
      <w:r w:rsidR="001742DA" w:rsidRPr="00644D4E">
        <w:rPr>
          <w:rFonts w:ascii="Times New Roman" w:hAnsi="Times New Roman" w:cs="Times New Roman"/>
          <w:sz w:val="24"/>
          <w:szCs w:val="24"/>
          <w:lang w:val="ro-RO"/>
        </w:rPr>
        <w:t>p.p.</w:t>
      </w:r>
      <w:proofErr w:type="spellEnd"/>
      <w:r w:rsidR="001742DA" w:rsidRPr="00644D4E">
        <w:rPr>
          <w:rFonts w:ascii="Times New Roman" w:hAnsi="Times New Roman" w:cs="Times New Roman"/>
          <w:sz w:val="24"/>
          <w:szCs w:val="24"/>
          <w:lang w:val="ro-RO"/>
        </w:rPr>
        <w:t xml:space="preserve">), Centru (1 </w:t>
      </w:r>
      <w:proofErr w:type="spellStart"/>
      <w:r w:rsidR="001742DA" w:rsidRPr="00644D4E">
        <w:rPr>
          <w:rFonts w:ascii="Times New Roman" w:hAnsi="Times New Roman" w:cs="Times New Roman"/>
          <w:sz w:val="24"/>
          <w:szCs w:val="24"/>
          <w:lang w:val="ro-RO"/>
        </w:rPr>
        <w:t>p.p.</w:t>
      </w:r>
      <w:proofErr w:type="spellEnd"/>
      <w:r w:rsidR="001742DA" w:rsidRPr="00644D4E">
        <w:rPr>
          <w:rFonts w:ascii="Times New Roman" w:hAnsi="Times New Roman" w:cs="Times New Roman"/>
          <w:sz w:val="24"/>
          <w:szCs w:val="24"/>
          <w:lang w:val="ro-RO"/>
        </w:rPr>
        <w:t xml:space="preserve">) și Sud (2 </w:t>
      </w:r>
      <w:proofErr w:type="spellStart"/>
      <w:r w:rsidR="001742DA" w:rsidRPr="00644D4E">
        <w:rPr>
          <w:rFonts w:ascii="Times New Roman" w:hAnsi="Times New Roman" w:cs="Times New Roman"/>
          <w:sz w:val="24"/>
          <w:szCs w:val="24"/>
          <w:lang w:val="ro-RO"/>
        </w:rPr>
        <w:t>p.p.</w:t>
      </w:r>
      <w:proofErr w:type="spellEnd"/>
      <w:r w:rsidR="001742DA" w:rsidRPr="00644D4E">
        <w:rPr>
          <w:rFonts w:ascii="Times New Roman" w:hAnsi="Times New Roman" w:cs="Times New Roman"/>
          <w:sz w:val="24"/>
          <w:szCs w:val="24"/>
          <w:lang w:val="ro-RO"/>
        </w:rPr>
        <w:t xml:space="preserve">), iar în regiunea Nord avem o scădere cu 4 </w:t>
      </w:r>
      <w:proofErr w:type="spellStart"/>
      <w:r w:rsidR="001742DA" w:rsidRPr="00644D4E">
        <w:rPr>
          <w:rFonts w:ascii="Times New Roman" w:hAnsi="Times New Roman" w:cs="Times New Roman"/>
          <w:sz w:val="24"/>
          <w:szCs w:val="24"/>
          <w:lang w:val="ro-RO"/>
        </w:rPr>
        <w:t>p.p.</w:t>
      </w:r>
      <w:proofErr w:type="spellEnd"/>
      <w:r w:rsidR="001742DA" w:rsidRPr="00644D4E">
        <w:rPr>
          <w:rFonts w:ascii="Times New Roman" w:hAnsi="Times New Roman" w:cs="Times New Roman"/>
          <w:sz w:val="24"/>
          <w:szCs w:val="24"/>
          <w:lang w:val="ro-RO"/>
        </w:rPr>
        <w:t xml:space="preserve"> </w:t>
      </w:r>
    </w:p>
    <w:p w14:paraId="53CE0D7C" w14:textId="77777777" w:rsidR="00470156" w:rsidRPr="00644D4E" w:rsidRDefault="00C50972" w:rsidP="00CC2AF0">
      <w:pPr>
        <w:spacing w:after="60" w:line="240" w:lineRule="auto"/>
        <w:ind w:left="284"/>
        <w:jc w:val="center"/>
        <w:rPr>
          <w:rFonts w:ascii="Times New Roman" w:hAnsi="Times New Roman" w:cs="Times New Roman"/>
          <w:b/>
          <w:i/>
          <w:lang w:val="ro-RO"/>
        </w:rPr>
      </w:pPr>
      <w:r w:rsidRPr="00644D4E">
        <w:rPr>
          <w:rFonts w:ascii="Times New Roman" w:hAnsi="Times New Roman" w:cs="Times New Roman"/>
          <w:b/>
          <w:i/>
          <w:lang w:val="ro-RO"/>
        </w:rPr>
        <w:t xml:space="preserve">Fig. 2.3.1.3. Șomeri înregistrați pe </w:t>
      </w:r>
      <w:r w:rsidR="005C10EB" w:rsidRPr="00644D4E">
        <w:rPr>
          <w:rFonts w:ascii="Times New Roman" w:hAnsi="Times New Roman" w:cs="Times New Roman"/>
          <w:b/>
          <w:i/>
          <w:lang w:val="ro-RO"/>
        </w:rPr>
        <w:t>regiuni</w:t>
      </w:r>
      <w:r w:rsidR="00930715" w:rsidRPr="00644D4E">
        <w:rPr>
          <w:rFonts w:ascii="Times New Roman" w:hAnsi="Times New Roman" w:cs="Times New Roman"/>
          <w:b/>
          <w:i/>
          <w:lang w:val="ro-RO"/>
        </w:rPr>
        <w:t xml:space="preserve"> statistice</w:t>
      </w:r>
      <w:r w:rsidRPr="00644D4E">
        <w:rPr>
          <w:rFonts w:ascii="Times New Roman" w:hAnsi="Times New Roman" w:cs="Times New Roman"/>
          <w:b/>
          <w:i/>
          <w:lang w:val="ro-RO"/>
        </w:rPr>
        <w:t>, persoane</w:t>
      </w:r>
    </w:p>
    <w:p w14:paraId="22E8245E" w14:textId="77777777" w:rsidR="005C10EB" w:rsidRPr="00644D4E" w:rsidRDefault="005C10EB" w:rsidP="007B1495">
      <w:pPr>
        <w:spacing w:after="120" w:line="240" w:lineRule="auto"/>
        <w:ind w:left="284"/>
        <w:jc w:val="center"/>
        <w:rPr>
          <w:rFonts w:ascii="Times New Roman" w:hAnsi="Times New Roman" w:cs="Times New Roman"/>
          <w:b/>
          <w:i/>
          <w:highlight w:val="cyan"/>
          <w:lang w:val="ro-RO"/>
        </w:rPr>
      </w:pPr>
      <w:r w:rsidRPr="00644D4E">
        <w:rPr>
          <w:rFonts w:ascii="Times New Roman" w:hAnsi="Times New Roman" w:cs="Times New Roman"/>
          <w:b/>
          <w:i/>
          <w:lang w:val="ro-RO"/>
        </w:rPr>
        <w:drawing>
          <wp:inline distT="0" distB="0" distL="0" distR="0" wp14:anchorId="64B1EB5A" wp14:editId="189ECE7D">
            <wp:extent cx="4218305" cy="1652016"/>
            <wp:effectExtent l="0" t="0" r="10795" b="571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3EC7F2AE" w14:textId="77777777" w:rsidR="00C50972" w:rsidRPr="00644D4E" w:rsidRDefault="00C50972" w:rsidP="00C50972">
      <w:pPr>
        <w:spacing w:after="120" w:line="240" w:lineRule="auto"/>
        <w:jc w:val="both"/>
        <w:rPr>
          <w:rFonts w:ascii="Times New Roman" w:hAnsi="Times New Roman" w:cs="Times New Roman"/>
          <w:sz w:val="24"/>
          <w:szCs w:val="24"/>
          <w:lang w:val="ro-RO"/>
        </w:rPr>
      </w:pPr>
      <w:r w:rsidRPr="00644D4E">
        <w:rPr>
          <w:rFonts w:ascii="Times New Roman" w:hAnsi="Times New Roman" w:cs="Times New Roman"/>
          <w:sz w:val="16"/>
          <w:szCs w:val="16"/>
          <w:lang w:val="ro-RO"/>
        </w:rPr>
        <w:t xml:space="preserve">                                 </w:t>
      </w:r>
      <w:r w:rsidR="007A7FCE" w:rsidRPr="00644D4E">
        <w:rPr>
          <w:rFonts w:ascii="Times New Roman" w:hAnsi="Times New Roman" w:cs="Times New Roman"/>
          <w:sz w:val="16"/>
          <w:szCs w:val="16"/>
          <w:lang w:val="ro-RO"/>
        </w:rPr>
        <w:t xml:space="preserve">    </w:t>
      </w:r>
      <w:r w:rsidRPr="00644D4E">
        <w:rPr>
          <w:rFonts w:ascii="Times New Roman" w:hAnsi="Times New Roman" w:cs="Times New Roman"/>
          <w:sz w:val="16"/>
          <w:szCs w:val="16"/>
          <w:lang w:val="ro-RO"/>
        </w:rPr>
        <w:t>Sursa: Baza de date ANOFM</w:t>
      </w:r>
    </w:p>
    <w:p w14:paraId="17B5D076" w14:textId="77777777" w:rsidR="00C50972" w:rsidRPr="00644D4E" w:rsidRDefault="00C50972" w:rsidP="00C50972">
      <w:pPr>
        <w:spacing w:after="120" w:line="240" w:lineRule="auto"/>
        <w:ind w:left="272"/>
        <w:jc w:val="both"/>
        <w:rPr>
          <w:rFonts w:asciiTheme="majorBidi" w:hAnsiTheme="majorBidi" w:cstheme="majorBidi"/>
          <w:sz w:val="24"/>
          <w:szCs w:val="24"/>
          <w:lang w:val="ro-RO"/>
        </w:rPr>
      </w:pPr>
      <w:r w:rsidRPr="00644D4E">
        <w:rPr>
          <w:rFonts w:asciiTheme="majorBidi" w:hAnsiTheme="majorBidi" w:cstheme="majorBidi"/>
          <w:sz w:val="24"/>
          <w:szCs w:val="24"/>
          <w:lang w:val="ro-RO"/>
        </w:rPr>
        <w:t xml:space="preserve">Analizând numărul șomerilor din baza de date după durata aflării în șomaj se atestă că majoritatea lor </w:t>
      </w:r>
      <w:r w:rsidR="00C66656" w:rsidRPr="00644D4E">
        <w:rPr>
          <w:rFonts w:asciiTheme="majorBidi" w:hAnsiTheme="majorBidi" w:cstheme="majorBidi"/>
          <w:sz w:val="24"/>
          <w:szCs w:val="24"/>
          <w:lang w:val="ro-RO"/>
        </w:rPr>
        <w:t>–</w:t>
      </w:r>
      <w:r w:rsidRPr="00644D4E">
        <w:rPr>
          <w:rFonts w:asciiTheme="majorBidi" w:hAnsiTheme="majorBidi" w:cstheme="majorBidi"/>
          <w:b/>
          <w:sz w:val="24"/>
          <w:szCs w:val="24"/>
          <w:lang w:val="ro-RO"/>
        </w:rPr>
        <w:t>6</w:t>
      </w:r>
      <w:r w:rsidR="005E1E84" w:rsidRPr="00644D4E">
        <w:rPr>
          <w:rFonts w:asciiTheme="majorBidi" w:hAnsiTheme="majorBidi" w:cstheme="majorBidi"/>
          <w:b/>
          <w:sz w:val="24"/>
          <w:szCs w:val="24"/>
          <w:lang w:val="ro-RO"/>
        </w:rPr>
        <w:t>5</w:t>
      </w:r>
      <w:r w:rsidR="007B1495" w:rsidRPr="00644D4E">
        <w:rPr>
          <w:rFonts w:asciiTheme="majorBidi" w:hAnsiTheme="majorBidi" w:cstheme="majorBidi"/>
          <w:b/>
          <w:sz w:val="24"/>
          <w:szCs w:val="24"/>
          <w:lang w:val="ro-RO"/>
        </w:rPr>
        <w:t>%</w:t>
      </w:r>
      <w:r w:rsidR="007B1495" w:rsidRPr="00644D4E">
        <w:rPr>
          <w:rFonts w:asciiTheme="majorBidi" w:hAnsiTheme="majorBidi" w:cstheme="majorBidi"/>
          <w:sz w:val="24"/>
          <w:szCs w:val="24"/>
          <w:lang w:val="ro-RO"/>
        </w:rPr>
        <w:t xml:space="preserve"> </w:t>
      </w:r>
      <w:r w:rsidRPr="00644D4E">
        <w:rPr>
          <w:rFonts w:asciiTheme="majorBidi" w:hAnsiTheme="majorBidi" w:cstheme="majorBidi"/>
          <w:sz w:val="24"/>
          <w:szCs w:val="24"/>
          <w:lang w:val="ro-RO"/>
        </w:rPr>
        <w:t>stau în evidență până în 6 luni</w:t>
      </w:r>
      <w:r w:rsidR="0056795B" w:rsidRPr="00644D4E">
        <w:rPr>
          <w:rFonts w:asciiTheme="majorBidi" w:hAnsiTheme="majorBidi" w:cstheme="majorBidi"/>
          <w:sz w:val="24"/>
          <w:szCs w:val="24"/>
          <w:lang w:val="ro-RO"/>
        </w:rPr>
        <w:t xml:space="preserve">, </w:t>
      </w:r>
      <w:r w:rsidR="00C66656" w:rsidRPr="00644D4E">
        <w:rPr>
          <w:rFonts w:asciiTheme="majorBidi" w:hAnsiTheme="majorBidi" w:cstheme="majorBidi"/>
          <w:sz w:val="24"/>
          <w:szCs w:val="24"/>
          <w:lang w:val="ro-RO"/>
        </w:rPr>
        <w:t>–</w:t>
      </w:r>
      <w:r w:rsidR="0056795B" w:rsidRPr="00644D4E">
        <w:rPr>
          <w:rFonts w:asciiTheme="majorBidi" w:hAnsiTheme="majorBidi" w:cstheme="majorBidi"/>
          <w:b/>
          <w:sz w:val="24"/>
          <w:szCs w:val="24"/>
          <w:lang w:val="ro-RO"/>
        </w:rPr>
        <w:t>25%</w:t>
      </w:r>
      <w:r w:rsidR="0056795B" w:rsidRPr="00644D4E">
        <w:rPr>
          <w:rFonts w:asciiTheme="majorBidi" w:hAnsiTheme="majorBidi" w:cstheme="majorBidi"/>
          <w:sz w:val="24"/>
          <w:szCs w:val="24"/>
          <w:lang w:val="ro-RO"/>
        </w:rPr>
        <w:t xml:space="preserve"> </w:t>
      </w:r>
      <w:r w:rsidR="005E1E84" w:rsidRPr="00644D4E">
        <w:rPr>
          <w:rFonts w:asciiTheme="majorBidi" w:hAnsiTheme="majorBidi" w:cstheme="majorBidi"/>
          <w:sz w:val="24"/>
          <w:szCs w:val="24"/>
          <w:lang w:val="ro-RO"/>
        </w:rPr>
        <w:t xml:space="preserve">stau în evidență </w:t>
      </w:r>
      <w:r w:rsidR="0056795B" w:rsidRPr="00644D4E">
        <w:rPr>
          <w:rFonts w:asciiTheme="majorBidi" w:hAnsiTheme="majorBidi" w:cstheme="majorBidi"/>
          <w:sz w:val="24"/>
          <w:szCs w:val="24"/>
          <w:lang w:val="ro-RO"/>
        </w:rPr>
        <w:t>6</w:t>
      </w:r>
      <w:r w:rsidR="00CA49E2" w:rsidRPr="00644D4E">
        <w:rPr>
          <w:rFonts w:asciiTheme="majorBidi" w:hAnsiTheme="majorBidi" w:cstheme="majorBidi"/>
          <w:sz w:val="24"/>
          <w:szCs w:val="24"/>
          <w:lang w:val="ro-RO"/>
        </w:rPr>
        <w:t>–</w:t>
      </w:r>
      <w:r w:rsidR="0056795B" w:rsidRPr="00644D4E">
        <w:rPr>
          <w:rFonts w:asciiTheme="majorBidi" w:hAnsiTheme="majorBidi" w:cstheme="majorBidi"/>
          <w:sz w:val="24"/>
          <w:szCs w:val="24"/>
          <w:lang w:val="ro-RO"/>
        </w:rPr>
        <w:t xml:space="preserve">12 luni, </w:t>
      </w:r>
      <w:r w:rsidR="00C66656" w:rsidRPr="00644D4E">
        <w:rPr>
          <w:rFonts w:asciiTheme="majorBidi" w:hAnsiTheme="majorBidi" w:cstheme="majorBidi"/>
          <w:sz w:val="24"/>
          <w:szCs w:val="24"/>
          <w:lang w:val="ro-RO"/>
        </w:rPr>
        <w:t xml:space="preserve">– </w:t>
      </w:r>
      <w:r w:rsidR="0056795B" w:rsidRPr="00644D4E">
        <w:rPr>
          <w:rFonts w:asciiTheme="majorBidi" w:hAnsiTheme="majorBidi" w:cstheme="majorBidi"/>
          <w:sz w:val="24"/>
          <w:szCs w:val="24"/>
          <w:lang w:val="ro-RO"/>
        </w:rPr>
        <w:t xml:space="preserve">8% </w:t>
      </w:r>
      <w:r w:rsidR="005E1E84" w:rsidRPr="00644D4E">
        <w:rPr>
          <w:rFonts w:asciiTheme="majorBidi" w:hAnsiTheme="majorBidi" w:cstheme="majorBidi"/>
          <w:sz w:val="24"/>
          <w:szCs w:val="24"/>
          <w:lang w:val="ro-RO"/>
        </w:rPr>
        <w:t>(</w:t>
      </w:r>
      <w:r w:rsidR="0056795B" w:rsidRPr="00644D4E">
        <w:rPr>
          <w:rFonts w:asciiTheme="majorBidi" w:hAnsiTheme="majorBidi" w:cstheme="majorBidi"/>
          <w:sz w:val="24"/>
          <w:szCs w:val="24"/>
          <w:lang w:val="ro-RO"/>
        </w:rPr>
        <w:t>12</w:t>
      </w:r>
      <w:r w:rsidR="00CA49E2" w:rsidRPr="00644D4E">
        <w:rPr>
          <w:rFonts w:asciiTheme="majorBidi" w:hAnsiTheme="majorBidi" w:cstheme="majorBidi"/>
          <w:sz w:val="24"/>
          <w:szCs w:val="24"/>
          <w:lang w:val="ro-RO"/>
        </w:rPr>
        <w:t>–</w:t>
      </w:r>
      <w:r w:rsidR="0056795B" w:rsidRPr="00644D4E">
        <w:rPr>
          <w:rFonts w:asciiTheme="majorBidi" w:hAnsiTheme="majorBidi" w:cstheme="majorBidi"/>
          <w:sz w:val="24"/>
          <w:szCs w:val="24"/>
          <w:lang w:val="ro-RO"/>
        </w:rPr>
        <w:t>24 luni</w:t>
      </w:r>
      <w:r w:rsidR="005E1E84" w:rsidRPr="00644D4E">
        <w:rPr>
          <w:rFonts w:asciiTheme="majorBidi" w:hAnsiTheme="majorBidi" w:cstheme="majorBidi"/>
          <w:sz w:val="24"/>
          <w:szCs w:val="24"/>
          <w:lang w:val="ro-RO"/>
        </w:rPr>
        <w:t>)</w:t>
      </w:r>
      <w:r w:rsidR="0056795B" w:rsidRPr="00644D4E">
        <w:rPr>
          <w:rFonts w:asciiTheme="majorBidi" w:hAnsiTheme="majorBidi" w:cstheme="majorBidi"/>
          <w:sz w:val="24"/>
          <w:szCs w:val="24"/>
          <w:lang w:val="ro-RO"/>
        </w:rPr>
        <w:t xml:space="preserve">  și </w:t>
      </w:r>
      <w:r w:rsidR="00C66656" w:rsidRPr="00644D4E">
        <w:rPr>
          <w:rFonts w:asciiTheme="majorBidi" w:hAnsiTheme="majorBidi" w:cstheme="majorBidi"/>
          <w:sz w:val="24"/>
          <w:szCs w:val="24"/>
          <w:lang w:val="ro-RO"/>
        </w:rPr>
        <w:t>–</w:t>
      </w:r>
      <w:r w:rsidR="0056795B" w:rsidRPr="00644D4E">
        <w:rPr>
          <w:rFonts w:asciiTheme="majorBidi" w:hAnsiTheme="majorBidi" w:cstheme="majorBidi"/>
          <w:sz w:val="24"/>
          <w:szCs w:val="24"/>
          <w:lang w:val="ro-RO"/>
        </w:rPr>
        <w:t>1% peste 24 luni</w:t>
      </w:r>
      <w:r w:rsidRPr="00644D4E">
        <w:rPr>
          <w:rFonts w:asciiTheme="majorBidi" w:hAnsiTheme="majorBidi" w:cstheme="majorBidi"/>
          <w:sz w:val="24"/>
          <w:szCs w:val="24"/>
          <w:lang w:val="ro-RO"/>
        </w:rPr>
        <w:t xml:space="preserve">. Conform vârstei, în șomaj de lungă durată </w:t>
      </w:r>
      <w:r w:rsidR="0048163C" w:rsidRPr="00644D4E">
        <w:rPr>
          <w:rFonts w:asciiTheme="majorBidi" w:hAnsiTheme="majorBidi" w:cstheme="majorBidi"/>
          <w:sz w:val="24"/>
          <w:szCs w:val="24"/>
          <w:lang w:val="ro-RO"/>
        </w:rPr>
        <w:t xml:space="preserve"> (mai mult de 12 luni) </w:t>
      </w:r>
      <w:r w:rsidRPr="00644D4E">
        <w:rPr>
          <w:rFonts w:asciiTheme="majorBidi" w:hAnsiTheme="majorBidi" w:cstheme="majorBidi"/>
          <w:sz w:val="24"/>
          <w:szCs w:val="24"/>
          <w:lang w:val="ro-RO"/>
        </w:rPr>
        <w:t xml:space="preserve">sunt cu precădere persoanele cu vârsta de </w:t>
      </w:r>
      <w:r w:rsidR="00F16E2C" w:rsidRPr="00644D4E">
        <w:rPr>
          <w:rFonts w:asciiTheme="majorBidi" w:hAnsiTheme="majorBidi" w:cstheme="majorBidi"/>
          <w:sz w:val="24"/>
          <w:szCs w:val="24"/>
          <w:lang w:val="ro-RO"/>
        </w:rPr>
        <w:t>50</w:t>
      </w:r>
      <w:r w:rsidR="00350212" w:rsidRPr="00644D4E">
        <w:rPr>
          <w:rFonts w:asciiTheme="majorBidi" w:hAnsiTheme="majorBidi" w:cstheme="majorBidi"/>
          <w:sz w:val="24"/>
          <w:szCs w:val="24"/>
          <w:lang w:val="ro-RO"/>
        </w:rPr>
        <w:t>+</w:t>
      </w:r>
      <w:r w:rsidR="00C66656" w:rsidRPr="00644D4E">
        <w:rPr>
          <w:rFonts w:asciiTheme="majorBidi" w:hAnsiTheme="majorBidi" w:cstheme="majorBidi"/>
          <w:sz w:val="24"/>
          <w:szCs w:val="24"/>
          <w:lang w:val="ro-RO"/>
        </w:rPr>
        <w:t xml:space="preserve"> </w:t>
      </w:r>
      <w:r w:rsidR="00F16E2C" w:rsidRPr="00644D4E">
        <w:rPr>
          <w:rFonts w:asciiTheme="majorBidi" w:hAnsiTheme="majorBidi" w:cstheme="majorBidi"/>
          <w:sz w:val="24"/>
          <w:szCs w:val="24"/>
          <w:lang w:val="ro-RO"/>
        </w:rPr>
        <w:t>ani</w:t>
      </w:r>
      <w:r w:rsidRPr="00644D4E">
        <w:rPr>
          <w:rFonts w:asciiTheme="majorBidi" w:hAnsiTheme="majorBidi" w:cstheme="majorBidi"/>
          <w:sz w:val="24"/>
          <w:szCs w:val="24"/>
          <w:lang w:val="ro-RO"/>
        </w:rPr>
        <w:t xml:space="preserve"> (</w:t>
      </w:r>
      <w:r w:rsidRPr="00644D4E">
        <w:rPr>
          <w:rFonts w:asciiTheme="majorBidi" w:hAnsiTheme="majorBidi" w:cstheme="majorBidi"/>
          <w:b/>
          <w:sz w:val="24"/>
          <w:szCs w:val="24"/>
          <w:lang w:val="ro-RO"/>
        </w:rPr>
        <w:t>5</w:t>
      </w:r>
      <w:r w:rsidR="00B96FFE" w:rsidRPr="00644D4E">
        <w:rPr>
          <w:rFonts w:asciiTheme="majorBidi" w:hAnsiTheme="majorBidi" w:cstheme="majorBidi"/>
          <w:b/>
          <w:sz w:val="24"/>
          <w:szCs w:val="24"/>
          <w:lang w:val="ro-RO"/>
        </w:rPr>
        <w:t>4</w:t>
      </w:r>
      <w:r w:rsidRPr="00644D4E">
        <w:rPr>
          <w:rFonts w:asciiTheme="majorBidi" w:hAnsiTheme="majorBidi" w:cstheme="majorBidi"/>
          <w:b/>
          <w:sz w:val="24"/>
          <w:szCs w:val="24"/>
          <w:lang w:val="ro-RO"/>
        </w:rPr>
        <w:t>%</w:t>
      </w:r>
      <w:r w:rsidRPr="00644D4E">
        <w:rPr>
          <w:rFonts w:asciiTheme="majorBidi" w:hAnsiTheme="majorBidi" w:cstheme="majorBidi"/>
          <w:sz w:val="24"/>
          <w:szCs w:val="24"/>
          <w:lang w:val="ro-RO"/>
        </w:rPr>
        <w:t>), care se încadrează mai greu în câmpul muncii, iar cel mai puțin stau în evidență cei cu vârsta cuprinsă între 16-2</w:t>
      </w:r>
      <w:r w:rsidR="00F16E2C" w:rsidRPr="00644D4E">
        <w:rPr>
          <w:rFonts w:asciiTheme="majorBidi" w:hAnsiTheme="majorBidi" w:cstheme="majorBidi"/>
          <w:sz w:val="24"/>
          <w:szCs w:val="24"/>
          <w:lang w:val="ro-RO"/>
        </w:rPr>
        <w:t>9</w:t>
      </w:r>
      <w:r w:rsidRPr="00644D4E">
        <w:rPr>
          <w:rFonts w:asciiTheme="majorBidi" w:hAnsiTheme="majorBidi" w:cstheme="majorBidi"/>
          <w:sz w:val="24"/>
          <w:szCs w:val="24"/>
          <w:lang w:val="ro-RO"/>
        </w:rPr>
        <w:t xml:space="preserve"> ani (</w:t>
      </w:r>
      <w:r w:rsidR="00B96FFE" w:rsidRPr="00644D4E">
        <w:rPr>
          <w:rFonts w:asciiTheme="majorBidi" w:hAnsiTheme="majorBidi" w:cstheme="majorBidi"/>
          <w:b/>
          <w:sz w:val="24"/>
          <w:szCs w:val="24"/>
          <w:lang w:val="ro-RO"/>
        </w:rPr>
        <w:t>7</w:t>
      </w:r>
      <w:r w:rsidRPr="00644D4E">
        <w:rPr>
          <w:rFonts w:asciiTheme="majorBidi" w:hAnsiTheme="majorBidi" w:cstheme="majorBidi"/>
          <w:b/>
          <w:sz w:val="24"/>
          <w:szCs w:val="24"/>
          <w:lang w:val="ro-RO"/>
        </w:rPr>
        <w:t>%</w:t>
      </w:r>
      <w:r w:rsidRPr="00644D4E">
        <w:rPr>
          <w:rFonts w:asciiTheme="majorBidi" w:hAnsiTheme="majorBidi" w:cstheme="majorBidi"/>
          <w:sz w:val="24"/>
          <w:szCs w:val="24"/>
          <w:lang w:val="ro-RO"/>
        </w:rPr>
        <w:t xml:space="preserve">). </w:t>
      </w:r>
      <w:bookmarkStart w:id="27" w:name="_Toc40868844"/>
      <w:r w:rsidR="0048163C" w:rsidRPr="00644D4E">
        <w:rPr>
          <w:rFonts w:asciiTheme="majorBidi" w:hAnsiTheme="majorBidi" w:cstheme="majorBidi"/>
          <w:sz w:val="24"/>
          <w:szCs w:val="24"/>
          <w:lang w:val="ro-RO"/>
        </w:rPr>
        <w:t xml:space="preserve">Comparativ cu anul precedent, a crescut cu câte 2 </w:t>
      </w:r>
      <w:proofErr w:type="spellStart"/>
      <w:r w:rsidR="0048163C" w:rsidRPr="00644D4E">
        <w:rPr>
          <w:rFonts w:asciiTheme="majorBidi" w:hAnsiTheme="majorBidi" w:cstheme="majorBidi"/>
          <w:sz w:val="24"/>
          <w:szCs w:val="24"/>
          <w:lang w:val="ro-RO"/>
        </w:rPr>
        <w:t>p.p</w:t>
      </w:r>
      <w:proofErr w:type="spellEnd"/>
      <w:r w:rsidR="0048163C" w:rsidRPr="00644D4E">
        <w:rPr>
          <w:rFonts w:asciiTheme="majorBidi" w:hAnsiTheme="majorBidi" w:cstheme="majorBidi"/>
          <w:sz w:val="24"/>
          <w:szCs w:val="24"/>
          <w:lang w:val="ro-RO"/>
        </w:rPr>
        <w:t>, ponderea persoanelor cu vârsta de 50+, și respectiv a celor de 16</w:t>
      </w:r>
      <w:r w:rsidR="00C66656" w:rsidRPr="00644D4E">
        <w:rPr>
          <w:rFonts w:asciiTheme="majorBidi" w:hAnsiTheme="majorBidi" w:cstheme="majorBidi"/>
          <w:sz w:val="24"/>
          <w:szCs w:val="24"/>
          <w:lang w:val="ro-RO"/>
        </w:rPr>
        <w:t>–</w:t>
      </w:r>
      <w:r w:rsidR="0048163C" w:rsidRPr="00644D4E">
        <w:rPr>
          <w:rFonts w:asciiTheme="majorBidi" w:hAnsiTheme="majorBidi" w:cstheme="majorBidi"/>
          <w:sz w:val="24"/>
          <w:szCs w:val="24"/>
          <w:lang w:val="ro-RO"/>
        </w:rPr>
        <w:t>29 ani</w:t>
      </w:r>
      <w:r w:rsidR="00B96FFE" w:rsidRPr="00644D4E">
        <w:rPr>
          <w:rFonts w:asciiTheme="majorBidi" w:hAnsiTheme="majorBidi" w:cstheme="majorBidi"/>
          <w:sz w:val="24"/>
          <w:szCs w:val="24"/>
          <w:lang w:val="ro-RO"/>
        </w:rPr>
        <w:t>.</w:t>
      </w:r>
    </w:p>
    <w:p w14:paraId="599C3587" w14:textId="77777777" w:rsidR="00EC09B7" w:rsidRPr="00644D4E" w:rsidRDefault="00C50972" w:rsidP="00DD2E0A">
      <w:pPr>
        <w:spacing w:after="120" w:line="240" w:lineRule="auto"/>
        <w:ind w:left="284"/>
        <w:jc w:val="both"/>
        <w:rPr>
          <w:rFonts w:asciiTheme="majorBidi" w:hAnsiTheme="majorBidi" w:cstheme="majorBidi"/>
          <w:sz w:val="24"/>
          <w:szCs w:val="24"/>
          <w:lang w:val="ro-RO"/>
        </w:rPr>
      </w:pPr>
      <w:bookmarkStart w:id="28" w:name="_Toc138064743"/>
      <w:r w:rsidRPr="00644D4E">
        <w:rPr>
          <w:rStyle w:val="Heading3Char"/>
          <w:rFonts w:asciiTheme="majorBidi" w:eastAsiaTheme="minorHAnsi" w:hAnsiTheme="majorBidi" w:cstheme="majorBidi"/>
          <w:color w:val="auto"/>
        </w:rPr>
        <w:t>2.3.2. Șomeri plasați în câmpul muncii.</w:t>
      </w:r>
      <w:bookmarkEnd w:id="27"/>
      <w:bookmarkEnd w:id="28"/>
    </w:p>
    <w:p w14:paraId="0474B1FF" w14:textId="77777777" w:rsidR="00EC09B7" w:rsidRPr="00644D4E" w:rsidRDefault="00C50972" w:rsidP="00DD2E0A">
      <w:pPr>
        <w:spacing w:after="120" w:line="240" w:lineRule="auto"/>
        <w:ind w:left="284"/>
        <w:jc w:val="both"/>
        <w:rPr>
          <w:rFonts w:asciiTheme="majorBidi" w:hAnsiTheme="majorBidi" w:cstheme="majorBidi"/>
          <w:sz w:val="24"/>
          <w:szCs w:val="24"/>
          <w:lang w:val="ro-RO"/>
        </w:rPr>
      </w:pPr>
      <w:r w:rsidRPr="00644D4E">
        <w:rPr>
          <w:rFonts w:asciiTheme="majorBidi" w:hAnsiTheme="majorBidi" w:cstheme="majorBidi"/>
          <w:sz w:val="24"/>
          <w:szCs w:val="24"/>
          <w:lang w:val="ro-RO"/>
        </w:rPr>
        <w:t xml:space="preserve">Din numărul total de șomeri înregistrați, au fost plasați în câmpul muncii </w:t>
      </w:r>
      <w:r w:rsidRPr="00644D4E">
        <w:rPr>
          <w:rFonts w:asciiTheme="majorBidi" w:hAnsiTheme="majorBidi" w:cstheme="majorBidi"/>
          <w:b/>
          <w:sz w:val="24"/>
          <w:szCs w:val="24"/>
          <w:lang w:val="ro-RO"/>
        </w:rPr>
        <w:t>8,</w:t>
      </w:r>
      <w:r w:rsidR="00C8539C" w:rsidRPr="00644D4E">
        <w:rPr>
          <w:rFonts w:asciiTheme="majorBidi" w:hAnsiTheme="majorBidi" w:cstheme="majorBidi"/>
          <w:b/>
          <w:sz w:val="24"/>
          <w:szCs w:val="24"/>
          <w:lang w:val="ro-RO"/>
        </w:rPr>
        <w:t>9</w:t>
      </w:r>
      <w:r w:rsidRPr="00644D4E">
        <w:rPr>
          <w:rFonts w:asciiTheme="majorBidi" w:hAnsiTheme="majorBidi" w:cstheme="majorBidi"/>
          <w:b/>
          <w:sz w:val="24"/>
          <w:szCs w:val="24"/>
          <w:lang w:val="ro-RO"/>
        </w:rPr>
        <w:t xml:space="preserve"> mii </w:t>
      </w:r>
      <w:r w:rsidRPr="00644D4E">
        <w:rPr>
          <w:rFonts w:asciiTheme="majorBidi" w:hAnsiTheme="majorBidi" w:cstheme="majorBidi"/>
          <w:sz w:val="24"/>
          <w:szCs w:val="24"/>
          <w:lang w:val="ro-RO"/>
        </w:rPr>
        <w:t xml:space="preserve">șomeri, ceea ce constituie </w:t>
      </w:r>
      <w:r w:rsidR="00C8539C" w:rsidRPr="00644D4E">
        <w:rPr>
          <w:rFonts w:asciiTheme="majorBidi" w:hAnsiTheme="majorBidi" w:cstheme="majorBidi"/>
          <w:b/>
          <w:sz w:val="24"/>
          <w:szCs w:val="24"/>
          <w:lang w:val="ro-RO"/>
        </w:rPr>
        <w:t>3</w:t>
      </w:r>
      <w:r w:rsidRPr="00644D4E">
        <w:rPr>
          <w:rFonts w:asciiTheme="majorBidi" w:hAnsiTheme="majorBidi" w:cstheme="majorBidi"/>
          <w:b/>
          <w:sz w:val="24"/>
          <w:szCs w:val="24"/>
          <w:lang w:val="ro-RO"/>
        </w:rPr>
        <w:t>4%</w:t>
      </w:r>
      <w:r w:rsidRPr="00644D4E">
        <w:rPr>
          <w:rFonts w:asciiTheme="majorBidi" w:hAnsiTheme="majorBidi" w:cstheme="majorBidi"/>
          <w:sz w:val="24"/>
          <w:szCs w:val="24"/>
          <w:lang w:val="ro-RO"/>
        </w:rPr>
        <w:t xml:space="preserve"> din numărul total de șomeri înregistrați. Comparativ cu anul precedent, </w:t>
      </w:r>
      <w:r w:rsidR="00F16E2C" w:rsidRPr="00644D4E">
        <w:rPr>
          <w:rFonts w:asciiTheme="majorBidi" w:hAnsiTheme="majorBidi" w:cstheme="majorBidi"/>
          <w:sz w:val="24"/>
          <w:szCs w:val="24"/>
          <w:lang w:val="ro-RO"/>
        </w:rPr>
        <w:t>ponderea șomerilor plasați în câmpul muncii din numărul șomerilor înregistrați pe parcurs</w:t>
      </w:r>
      <w:r w:rsidR="004917C2" w:rsidRPr="00644D4E">
        <w:rPr>
          <w:rFonts w:asciiTheme="majorBidi" w:hAnsiTheme="majorBidi" w:cstheme="majorBidi"/>
          <w:sz w:val="24"/>
          <w:szCs w:val="24"/>
          <w:lang w:val="ro-RO"/>
        </w:rPr>
        <w:t>ul anului 202</w:t>
      </w:r>
      <w:r w:rsidR="00C8539C" w:rsidRPr="00644D4E">
        <w:rPr>
          <w:rFonts w:asciiTheme="majorBidi" w:hAnsiTheme="majorBidi" w:cstheme="majorBidi"/>
          <w:sz w:val="24"/>
          <w:szCs w:val="24"/>
          <w:lang w:val="ro-RO"/>
        </w:rPr>
        <w:t>3</w:t>
      </w:r>
      <w:r w:rsidR="004917C2" w:rsidRPr="00644D4E">
        <w:rPr>
          <w:rFonts w:asciiTheme="majorBidi" w:hAnsiTheme="majorBidi" w:cstheme="majorBidi"/>
          <w:sz w:val="24"/>
          <w:szCs w:val="24"/>
          <w:lang w:val="ro-RO"/>
        </w:rPr>
        <w:t xml:space="preserve"> a </w:t>
      </w:r>
      <w:r w:rsidR="00C8539C" w:rsidRPr="00644D4E">
        <w:rPr>
          <w:rFonts w:asciiTheme="majorBidi" w:hAnsiTheme="majorBidi" w:cstheme="majorBidi"/>
          <w:sz w:val="24"/>
          <w:szCs w:val="24"/>
          <w:lang w:val="ro-RO"/>
        </w:rPr>
        <w:t>cr</w:t>
      </w:r>
      <w:r w:rsidR="00EA1080" w:rsidRPr="00644D4E">
        <w:rPr>
          <w:rFonts w:asciiTheme="majorBidi" w:hAnsiTheme="majorBidi" w:cstheme="majorBidi"/>
          <w:sz w:val="24"/>
          <w:szCs w:val="24"/>
          <w:lang w:val="ro-RO"/>
        </w:rPr>
        <w:t>e</w:t>
      </w:r>
      <w:r w:rsidR="00C8539C" w:rsidRPr="00644D4E">
        <w:rPr>
          <w:rFonts w:asciiTheme="majorBidi" w:hAnsiTheme="majorBidi" w:cstheme="majorBidi"/>
          <w:sz w:val="24"/>
          <w:szCs w:val="24"/>
          <w:lang w:val="ro-RO"/>
        </w:rPr>
        <w:t xml:space="preserve">scut cu 10 </w:t>
      </w:r>
      <w:proofErr w:type="spellStart"/>
      <w:r w:rsidR="00C8539C" w:rsidRPr="00644D4E">
        <w:rPr>
          <w:rFonts w:asciiTheme="majorBidi" w:hAnsiTheme="majorBidi" w:cstheme="majorBidi"/>
          <w:sz w:val="24"/>
          <w:szCs w:val="24"/>
          <w:lang w:val="ro-RO"/>
        </w:rPr>
        <w:t>p.p.</w:t>
      </w:r>
      <w:proofErr w:type="spellEnd"/>
      <w:r w:rsidR="004917C2" w:rsidRPr="00644D4E">
        <w:rPr>
          <w:rFonts w:asciiTheme="majorBidi" w:hAnsiTheme="majorBidi" w:cstheme="majorBidi"/>
          <w:sz w:val="24"/>
          <w:szCs w:val="24"/>
          <w:lang w:val="ro-RO"/>
        </w:rPr>
        <w:t xml:space="preserve"> </w:t>
      </w:r>
      <w:r w:rsidR="006C4C69" w:rsidRPr="00644D4E">
        <w:rPr>
          <w:rFonts w:asciiTheme="majorBidi" w:hAnsiTheme="majorBidi" w:cstheme="majorBidi"/>
          <w:sz w:val="24"/>
          <w:szCs w:val="24"/>
          <w:lang w:val="ro-RO"/>
        </w:rPr>
        <w:t>P</w:t>
      </w:r>
      <w:r w:rsidR="00AA7B90" w:rsidRPr="00644D4E">
        <w:rPr>
          <w:rFonts w:asciiTheme="majorBidi" w:hAnsiTheme="majorBidi" w:cstheme="majorBidi"/>
          <w:sz w:val="24"/>
          <w:szCs w:val="24"/>
          <w:lang w:val="ro-RO"/>
        </w:rPr>
        <w:t>lasarea în câmpul muncii pe an ce trece devine tot mai dificil</w:t>
      </w:r>
      <w:r w:rsidR="00936304" w:rsidRPr="00644D4E">
        <w:rPr>
          <w:rFonts w:asciiTheme="majorBidi" w:hAnsiTheme="majorBidi" w:cstheme="majorBidi"/>
          <w:sz w:val="24"/>
          <w:szCs w:val="24"/>
          <w:lang w:val="ro-RO"/>
        </w:rPr>
        <w:t>ă</w:t>
      </w:r>
      <w:r w:rsidR="00AA7B90" w:rsidRPr="00644D4E">
        <w:rPr>
          <w:rFonts w:asciiTheme="majorBidi" w:hAnsiTheme="majorBidi" w:cstheme="majorBidi"/>
          <w:sz w:val="24"/>
          <w:szCs w:val="24"/>
          <w:lang w:val="ro-RO"/>
        </w:rPr>
        <w:t xml:space="preserve">, având în vedere </w:t>
      </w:r>
      <w:r w:rsidR="006C4C69" w:rsidRPr="00644D4E">
        <w:rPr>
          <w:rFonts w:asciiTheme="majorBidi" w:hAnsiTheme="majorBidi" w:cstheme="majorBidi"/>
          <w:sz w:val="24"/>
          <w:szCs w:val="24"/>
          <w:lang w:val="ro-RO"/>
        </w:rPr>
        <w:t>ponderea mare (</w:t>
      </w:r>
      <w:r w:rsidR="006C4C69" w:rsidRPr="00644D4E">
        <w:rPr>
          <w:rFonts w:asciiTheme="majorBidi" w:hAnsiTheme="majorBidi" w:cstheme="majorBidi"/>
          <w:b/>
          <w:sz w:val="24"/>
          <w:szCs w:val="24"/>
          <w:lang w:val="ro-RO"/>
        </w:rPr>
        <w:t>64%</w:t>
      </w:r>
      <w:r w:rsidR="006C4C69" w:rsidRPr="00644D4E">
        <w:rPr>
          <w:rFonts w:asciiTheme="majorBidi" w:hAnsiTheme="majorBidi" w:cstheme="majorBidi"/>
          <w:sz w:val="24"/>
          <w:szCs w:val="24"/>
          <w:lang w:val="ro-RO"/>
        </w:rPr>
        <w:t>) a</w:t>
      </w:r>
      <w:r w:rsidR="00AA7B90" w:rsidRPr="00644D4E">
        <w:rPr>
          <w:rFonts w:asciiTheme="majorBidi" w:hAnsiTheme="majorBidi" w:cstheme="majorBidi"/>
          <w:sz w:val="24"/>
          <w:szCs w:val="24"/>
          <w:lang w:val="ro-RO"/>
        </w:rPr>
        <w:t xml:space="preserve"> persoanelor fără o calificare profesională</w:t>
      </w:r>
      <w:r w:rsidR="006C4C69" w:rsidRPr="00644D4E">
        <w:rPr>
          <w:rFonts w:asciiTheme="majorBidi" w:hAnsiTheme="majorBidi" w:cstheme="majorBidi"/>
          <w:sz w:val="24"/>
          <w:szCs w:val="24"/>
          <w:lang w:val="ro-RO"/>
        </w:rPr>
        <w:t>,</w:t>
      </w:r>
      <w:r w:rsidR="00AA7B90" w:rsidRPr="00644D4E">
        <w:rPr>
          <w:rFonts w:asciiTheme="majorBidi" w:hAnsiTheme="majorBidi" w:cstheme="majorBidi"/>
          <w:sz w:val="24"/>
          <w:szCs w:val="24"/>
          <w:lang w:val="ro-RO"/>
        </w:rPr>
        <w:t xml:space="preserve"> </w:t>
      </w:r>
      <w:r w:rsidR="00936304" w:rsidRPr="00644D4E">
        <w:rPr>
          <w:rFonts w:asciiTheme="majorBidi" w:hAnsiTheme="majorBidi" w:cstheme="majorBidi"/>
          <w:sz w:val="24"/>
          <w:szCs w:val="24"/>
          <w:lang w:val="ro-RO"/>
        </w:rPr>
        <w:t xml:space="preserve">inclusiv </w:t>
      </w:r>
      <w:r w:rsidR="00AA7B90" w:rsidRPr="00644D4E">
        <w:rPr>
          <w:rFonts w:asciiTheme="majorBidi" w:hAnsiTheme="majorBidi" w:cstheme="majorBidi"/>
          <w:sz w:val="24"/>
          <w:szCs w:val="24"/>
          <w:lang w:val="ro-RO"/>
        </w:rPr>
        <w:t>a celor cu studii primare/gimnaziale</w:t>
      </w:r>
      <w:r w:rsidR="006C4C69" w:rsidRPr="00644D4E">
        <w:rPr>
          <w:rFonts w:asciiTheme="majorBidi" w:hAnsiTheme="majorBidi" w:cstheme="majorBidi"/>
          <w:sz w:val="24"/>
          <w:szCs w:val="24"/>
          <w:lang w:val="ro-RO"/>
        </w:rPr>
        <w:t xml:space="preserve"> (</w:t>
      </w:r>
      <w:r w:rsidR="006C4C69" w:rsidRPr="00644D4E">
        <w:rPr>
          <w:rFonts w:asciiTheme="majorBidi" w:hAnsiTheme="majorBidi" w:cstheme="majorBidi"/>
          <w:b/>
          <w:sz w:val="24"/>
          <w:szCs w:val="24"/>
          <w:lang w:val="ro-RO"/>
        </w:rPr>
        <w:t>52%</w:t>
      </w:r>
      <w:r w:rsidR="006C4C69" w:rsidRPr="00644D4E">
        <w:rPr>
          <w:rFonts w:asciiTheme="majorBidi" w:hAnsiTheme="majorBidi" w:cstheme="majorBidi"/>
          <w:sz w:val="24"/>
          <w:szCs w:val="24"/>
          <w:lang w:val="ro-RO"/>
        </w:rPr>
        <w:t>).</w:t>
      </w:r>
      <w:r w:rsidR="00AA7B90" w:rsidRPr="00644D4E">
        <w:rPr>
          <w:rFonts w:asciiTheme="majorBidi" w:hAnsiTheme="majorBidi" w:cstheme="majorBidi"/>
          <w:sz w:val="24"/>
          <w:szCs w:val="24"/>
          <w:lang w:val="ro-RO"/>
        </w:rPr>
        <w:t xml:space="preserve"> Ace</w:t>
      </w:r>
      <w:r w:rsidR="00EC09B7" w:rsidRPr="00644D4E">
        <w:rPr>
          <w:rFonts w:asciiTheme="majorBidi" w:hAnsiTheme="majorBidi" w:cstheme="majorBidi"/>
          <w:sz w:val="24"/>
          <w:szCs w:val="24"/>
          <w:lang w:val="ro-RO"/>
        </w:rPr>
        <w:t>ș</w:t>
      </w:r>
      <w:r w:rsidR="00AA7B90" w:rsidRPr="00644D4E">
        <w:rPr>
          <w:rFonts w:asciiTheme="majorBidi" w:hAnsiTheme="majorBidi" w:cstheme="majorBidi"/>
          <w:sz w:val="24"/>
          <w:szCs w:val="24"/>
          <w:lang w:val="ro-RO"/>
        </w:rPr>
        <w:t xml:space="preserve">ti </w:t>
      </w:r>
      <w:proofErr w:type="spellStart"/>
      <w:r w:rsidR="00AA7B90" w:rsidRPr="00644D4E">
        <w:rPr>
          <w:rFonts w:asciiTheme="majorBidi" w:hAnsiTheme="majorBidi" w:cstheme="majorBidi"/>
          <w:sz w:val="24"/>
          <w:szCs w:val="24"/>
          <w:lang w:val="ro-RO"/>
        </w:rPr>
        <w:t>şomeri</w:t>
      </w:r>
      <w:proofErr w:type="spellEnd"/>
      <w:r w:rsidR="00AA7B90" w:rsidRPr="00644D4E">
        <w:rPr>
          <w:rFonts w:asciiTheme="majorBidi" w:hAnsiTheme="majorBidi" w:cstheme="majorBidi"/>
          <w:sz w:val="24"/>
          <w:szCs w:val="24"/>
          <w:lang w:val="ro-RO"/>
        </w:rPr>
        <w:t xml:space="preserve"> s</w:t>
      </w:r>
      <w:r w:rsidR="00936304" w:rsidRPr="00644D4E">
        <w:rPr>
          <w:rFonts w:asciiTheme="majorBidi" w:hAnsiTheme="majorBidi" w:cstheme="majorBidi"/>
          <w:sz w:val="24"/>
          <w:szCs w:val="24"/>
          <w:lang w:val="ro-RO"/>
        </w:rPr>
        <w:t>u</w:t>
      </w:r>
      <w:r w:rsidR="00AA7B90" w:rsidRPr="00644D4E">
        <w:rPr>
          <w:rFonts w:asciiTheme="majorBidi" w:hAnsiTheme="majorBidi" w:cstheme="majorBidi"/>
          <w:sz w:val="24"/>
          <w:szCs w:val="24"/>
          <w:lang w:val="ro-RO"/>
        </w:rPr>
        <w:t xml:space="preserve">nt cu probleme de integrare profesională și necesită măsuri suplimentare pentru a fi </w:t>
      </w:r>
      <w:proofErr w:type="spellStart"/>
      <w:r w:rsidR="00AA7B90" w:rsidRPr="00644D4E">
        <w:rPr>
          <w:rFonts w:asciiTheme="majorBidi" w:hAnsiTheme="majorBidi" w:cstheme="majorBidi"/>
          <w:sz w:val="24"/>
          <w:szCs w:val="24"/>
          <w:lang w:val="ro-RO"/>
        </w:rPr>
        <w:t>integraţi</w:t>
      </w:r>
      <w:proofErr w:type="spellEnd"/>
      <w:r w:rsidR="00AA7B90" w:rsidRPr="00644D4E">
        <w:rPr>
          <w:rFonts w:asciiTheme="majorBidi" w:hAnsiTheme="majorBidi" w:cstheme="majorBidi"/>
          <w:sz w:val="24"/>
          <w:szCs w:val="24"/>
          <w:lang w:val="ro-RO"/>
        </w:rPr>
        <w:t xml:space="preserve"> pe </w:t>
      </w:r>
      <w:proofErr w:type="spellStart"/>
      <w:r w:rsidR="00AA7B90" w:rsidRPr="00644D4E">
        <w:rPr>
          <w:rFonts w:asciiTheme="majorBidi" w:hAnsiTheme="majorBidi" w:cstheme="majorBidi"/>
          <w:sz w:val="24"/>
          <w:szCs w:val="24"/>
          <w:lang w:val="ro-RO"/>
        </w:rPr>
        <w:t>piaţa</w:t>
      </w:r>
      <w:proofErr w:type="spellEnd"/>
      <w:r w:rsidR="00AA7B90" w:rsidRPr="00644D4E">
        <w:rPr>
          <w:rFonts w:asciiTheme="majorBidi" w:hAnsiTheme="majorBidi" w:cstheme="majorBidi"/>
          <w:sz w:val="24"/>
          <w:szCs w:val="24"/>
          <w:lang w:val="ro-RO"/>
        </w:rPr>
        <w:t xml:space="preserve"> muncii</w:t>
      </w:r>
      <w:r w:rsidR="00AC1651" w:rsidRPr="00644D4E">
        <w:rPr>
          <w:rFonts w:asciiTheme="majorBidi" w:hAnsiTheme="majorBidi" w:cstheme="majorBidi"/>
          <w:sz w:val="24"/>
          <w:szCs w:val="24"/>
          <w:lang w:val="ro-RO"/>
        </w:rPr>
        <w:t>, una din ele fiind</w:t>
      </w:r>
      <w:r w:rsidR="00AA7B90" w:rsidRPr="00644D4E">
        <w:rPr>
          <w:rFonts w:asciiTheme="majorBidi" w:hAnsiTheme="majorBidi" w:cstheme="majorBidi"/>
          <w:sz w:val="24"/>
          <w:szCs w:val="24"/>
          <w:lang w:val="ro-RO"/>
        </w:rPr>
        <w:t xml:space="preserve"> profilarea </w:t>
      </w:r>
      <w:proofErr w:type="spellStart"/>
      <w:r w:rsidR="00AA7B90" w:rsidRPr="00644D4E">
        <w:rPr>
          <w:rFonts w:asciiTheme="majorBidi" w:hAnsiTheme="majorBidi" w:cstheme="majorBidi"/>
          <w:sz w:val="24"/>
          <w:szCs w:val="24"/>
          <w:lang w:val="ro-RO"/>
        </w:rPr>
        <w:t>şomerilor</w:t>
      </w:r>
      <w:proofErr w:type="spellEnd"/>
      <w:r w:rsidR="00AA7B90" w:rsidRPr="00644D4E">
        <w:rPr>
          <w:rFonts w:asciiTheme="majorBidi" w:hAnsiTheme="majorBidi" w:cstheme="majorBidi"/>
          <w:b/>
          <w:sz w:val="24"/>
          <w:szCs w:val="24"/>
          <w:lang w:val="ro-RO"/>
        </w:rPr>
        <w:t>.</w:t>
      </w:r>
      <w:r w:rsidR="00AA7B90" w:rsidRPr="00644D4E">
        <w:rPr>
          <w:rFonts w:asciiTheme="majorBidi" w:hAnsiTheme="majorBidi" w:cstheme="majorBidi"/>
          <w:sz w:val="24"/>
          <w:szCs w:val="24"/>
          <w:lang w:val="ro-RO"/>
        </w:rPr>
        <w:t xml:space="preserve"> În rezultatul profilării s-a identificat că ponderea cea mai mare (</w:t>
      </w:r>
      <w:r w:rsidR="00936304" w:rsidRPr="00644D4E">
        <w:rPr>
          <w:rFonts w:asciiTheme="majorBidi" w:hAnsiTheme="majorBidi" w:cstheme="majorBidi"/>
          <w:b/>
          <w:sz w:val="24"/>
          <w:szCs w:val="24"/>
          <w:lang w:val="ro-RO"/>
        </w:rPr>
        <w:t>3</w:t>
      </w:r>
      <w:r w:rsidR="00AB2072" w:rsidRPr="00644D4E">
        <w:rPr>
          <w:rFonts w:asciiTheme="majorBidi" w:hAnsiTheme="majorBidi" w:cstheme="majorBidi"/>
          <w:b/>
          <w:sz w:val="24"/>
          <w:szCs w:val="24"/>
          <w:lang w:val="ro-RO"/>
        </w:rPr>
        <w:t>7</w:t>
      </w:r>
      <w:r w:rsidR="00AA7B90" w:rsidRPr="00644D4E">
        <w:rPr>
          <w:rFonts w:asciiTheme="majorBidi" w:hAnsiTheme="majorBidi" w:cstheme="majorBidi"/>
          <w:b/>
          <w:sz w:val="24"/>
          <w:szCs w:val="24"/>
          <w:lang w:val="ro-RO"/>
        </w:rPr>
        <w:t>%</w:t>
      </w:r>
      <w:r w:rsidR="00AA7B90" w:rsidRPr="00644D4E">
        <w:rPr>
          <w:rFonts w:asciiTheme="majorBidi" w:hAnsiTheme="majorBidi" w:cstheme="majorBidi"/>
          <w:sz w:val="24"/>
          <w:szCs w:val="24"/>
          <w:lang w:val="ro-RO"/>
        </w:rPr>
        <w:t xml:space="preserve">) o dețin șomerii care necesită intensitate medie a serviciilor, </w:t>
      </w:r>
      <w:r w:rsidR="00A4216E" w:rsidRPr="00644D4E">
        <w:rPr>
          <w:rFonts w:asciiTheme="majorBidi" w:hAnsiTheme="majorBidi" w:cstheme="majorBidi"/>
          <w:sz w:val="24"/>
          <w:szCs w:val="24"/>
          <w:lang w:val="ro-RO"/>
        </w:rPr>
        <w:t>–</w:t>
      </w:r>
      <w:r w:rsidR="00936304" w:rsidRPr="00644D4E">
        <w:rPr>
          <w:rFonts w:asciiTheme="majorBidi" w:hAnsiTheme="majorBidi" w:cstheme="majorBidi"/>
          <w:b/>
          <w:sz w:val="24"/>
          <w:szCs w:val="24"/>
          <w:lang w:val="ro-RO"/>
        </w:rPr>
        <w:t>3</w:t>
      </w:r>
      <w:r w:rsidR="00AB2072" w:rsidRPr="00644D4E">
        <w:rPr>
          <w:rFonts w:asciiTheme="majorBidi" w:hAnsiTheme="majorBidi" w:cstheme="majorBidi"/>
          <w:b/>
          <w:sz w:val="24"/>
          <w:szCs w:val="24"/>
          <w:lang w:val="ro-RO"/>
        </w:rPr>
        <w:t>4</w:t>
      </w:r>
      <w:r w:rsidR="00AA7B90" w:rsidRPr="00644D4E">
        <w:rPr>
          <w:rFonts w:asciiTheme="majorBidi" w:hAnsiTheme="majorBidi" w:cstheme="majorBidi"/>
          <w:b/>
          <w:sz w:val="24"/>
          <w:szCs w:val="24"/>
          <w:lang w:val="ro-RO"/>
        </w:rPr>
        <w:t>%</w:t>
      </w:r>
      <w:r w:rsidR="00AA7B90" w:rsidRPr="00644D4E">
        <w:rPr>
          <w:rFonts w:asciiTheme="majorBidi" w:hAnsiTheme="majorBidi" w:cstheme="majorBidi"/>
          <w:sz w:val="24"/>
          <w:szCs w:val="24"/>
          <w:lang w:val="ro-RO"/>
        </w:rPr>
        <w:t xml:space="preserve"> sunt șomeri care necesită intensitate </w:t>
      </w:r>
      <w:r w:rsidR="00AB2072" w:rsidRPr="00644D4E">
        <w:rPr>
          <w:rFonts w:asciiTheme="majorBidi" w:hAnsiTheme="majorBidi" w:cstheme="majorBidi"/>
          <w:sz w:val="24"/>
          <w:szCs w:val="24"/>
          <w:lang w:val="ro-RO"/>
        </w:rPr>
        <w:t>scăzută</w:t>
      </w:r>
      <w:r w:rsidR="00AA7B90" w:rsidRPr="00644D4E">
        <w:rPr>
          <w:rFonts w:asciiTheme="majorBidi" w:hAnsiTheme="majorBidi" w:cstheme="majorBidi"/>
          <w:sz w:val="24"/>
          <w:szCs w:val="24"/>
          <w:lang w:val="ro-RO"/>
        </w:rPr>
        <w:t xml:space="preserve"> a serviciilor și </w:t>
      </w:r>
      <w:r w:rsidR="00A4216E" w:rsidRPr="00644D4E">
        <w:rPr>
          <w:rFonts w:asciiTheme="majorBidi" w:hAnsiTheme="majorBidi" w:cstheme="majorBidi"/>
          <w:sz w:val="24"/>
          <w:szCs w:val="24"/>
          <w:lang w:val="ro-RO"/>
        </w:rPr>
        <w:t>–</w:t>
      </w:r>
      <w:r w:rsidR="00AB2072" w:rsidRPr="00644D4E">
        <w:rPr>
          <w:rFonts w:asciiTheme="majorBidi" w:hAnsiTheme="majorBidi" w:cstheme="majorBidi"/>
          <w:b/>
          <w:sz w:val="24"/>
          <w:szCs w:val="24"/>
          <w:lang w:val="ro-RO"/>
        </w:rPr>
        <w:t>29</w:t>
      </w:r>
      <w:r w:rsidR="00AA7B90" w:rsidRPr="00644D4E">
        <w:rPr>
          <w:rFonts w:asciiTheme="majorBidi" w:hAnsiTheme="majorBidi" w:cstheme="majorBidi"/>
          <w:b/>
          <w:sz w:val="24"/>
          <w:szCs w:val="24"/>
          <w:lang w:val="ro-RO"/>
        </w:rPr>
        <w:t>%</w:t>
      </w:r>
      <w:r w:rsidR="00AA7B90" w:rsidRPr="00644D4E">
        <w:rPr>
          <w:rFonts w:asciiTheme="majorBidi" w:hAnsiTheme="majorBidi" w:cstheme="majorBidi"/>
          <w:sz w:val="24"/>
          <w:szCs w:val="24"/>
          <w:lang w:val="ro-RO"/>
        </w:rPr>
        <w:t xml:space="preserve"> sunt șomerii care necesită intensitate </w:t>
      </w:r>
      <w:r w:rsidR="00AB2072" w:rsidRPr="00644D4E">
        <w:rPr>
          <w:rFonts w:asciiTheme="majorBidi" w:hAnsiTheme="majorBidi" w:cstheme="majorBidi"/>
          <w:sz w:val="24"/>
          <w:szCs w:val="24"/>
          <w:lang w:val="ro-RO"/>
        </w:rPr>
        <w:t>înaltă</w:t>
      </w:r>
      <w:r w:rsidR="00AA7B90" w:rsidRPr="00644D4E">
        <w:rPr>
          <w:rFonts w:asciiTheme="majorBidi" w:hAnsiTheme="majorBidi" w:cstheme="majorBidi"/>
          <w:sz w:val="24"/>
          <w:szCs w:val="24"/>
          <w:lang w:val="ro-RO"/>
        </w:rPr>
        <w:t xml:space="preserve"> a serviciilor.</w:t>
      </w:r>
    </w:p>
    <w:p w14:paraId="350AEAC7" w14:textId="0BDD244F" w:rsidR="00DD2E0A" w:rsidRPr="00644D4E" w:rsidRDefault="00AA7B90" w:rsidP="00DD2E0A">
      <w:pPr>
        <w:spacing w:after="120" w:line="240" w:lineRule="auto"/>
        <w:ind w:left="284"/>
        <w:jc w:val="both"/>
        <w:rPr>
          <w:rFonts w:asciiTheme="majorBidi" w:hAnsiTheme="majorBidi" w:cstheme="majorBidi"/>
          <w:sz w:val="24"/>
          <w:szCs w:val="24"/>
          <w:lang w:val="ro-RO"/>
        </w:rPr>
      </w:pPr>
      <w:r w:rsidRPr="00644D4E">
        <w:rPr>
          <w:rFonts w:asciiTheme="majorBidi" w:hAnsiTheme="majorBidi" w:cstheme="majorBidi"/>
          <w:sz w:val="24"/>
          <w:szCs w:val="24"/>
          <w:lang w:val="ro-RO"/>
        </w:rPr>
        <w:t>În anul 202</w:t>
      </w:r>
      <w:r w:rsidR="00AB2072" w:rsidRPr="00644D4E">
        <w:rPr>
          <w:rFonts w:asciiTheme="majorBidi" w:hAnsiTheme="majorBidi" w:cstheme="majorBidi"/>
          <w:sz w:val="24"/>
          <w:szCs w:val="24"/>
          <w:lang w:val="ro-RO"/>
        </w:rPr>
        <w:t>3</w:t>
      </w:r>
      <w:r w:rsidRPr="00644D4E">
        <w:rPr>
          <w:rFonts w:asciiTheme="majorBidi" w:hAnsiTheme="majorBidi" w:cstheme="majorBidi"/>
          <w:sz w:val="24"/>
          <w:szCs w:val="24"/>
          <w:lang w:val="ro-RO"/>
        </w:rPr>
        <w:t xml:space="preserve"> STOFM au elaborat planuri individuale de angajare (PIA) pentru </w:t>
      </w:r>
      <w:r w:rsidR="00AB2072" w:rsidRPr="00644D4E">
        <w:rPr>
          <w:rFonts w:asciiTheme="majorBidi" w:hAnsiTheme="majorBidi" w:cstheme="majorBidi"/>
          <w:sz w:val="24"/>
          <w:szCs w:val="24"/>
          <w:lang w:val="ro-RO"/>
        </w:rPr>
        <w:t>14889</w:t>
      </w:r>
      <w:r w:rsidRPr="00644D4E">
        <w:rPr>
          <w:rFonts w:asciiTheme="majorBidi" w:hAnsiTheme="majorBidi" w:cstheme="majorBidi"/>
          <w:sz w:val="24"/>
          <w:szCs w:val="24"/>
          <w:lang w:val="ro-RO"/>
        </w:rPr>
        <w:t xml:space="preserve"> șomeri (</w:t>
      </w:r>
      <w:r w:rsidR="00AB2072" w:rsidRPr="00644D4E">
        <w:rPr>
          <w:rFonts w:asciiTheme="majorBidi" w:hAnsiTheme="majorBidi" w:cstheme="majorBidi"/>
          <w:b/>
          <w:sz w:val="24"/>
          <w:szCs w:val="24"/>
          <w:lang w:val="ro-RO"/>
        </w:rPr>
        <w:t>56</w:t>
      </w:r>
      <w:r w:rsidRPr="00644D4E">
        <w:rPr>
          <w:rFonts w:asciiTheme="majorBidi" w:hAnsiTheme="majorBidi" w:cstheme="majorBidi"/>
          <w:b/>
          <w:sz w:val="24"/>
          <w:szCs w:val="24"/>
          <w:lang w:val="ro-RO"/>
        </w:rPr>
        <w:t>%</w:t>
      </w:r>
      <w:r w:rsidR="00A4216E" w:rsidRPr="00644D4E">
        <w:rPr>
          <w:rFonts w:asciiTheme="majorBidi" w:hAnsiTheme="majorBidi" w:cstheme="majorBidi"/>
          <w:sz w:val="24"/>
          <w:szCs w:val="24"/>
          <w:lang w:val="ro-RO"/>
        </w:rPr>
        <w:t>)</w:t>
      </w:r>
      <w:r w:rsidRPr="00644D4E">
        <w:rPr>
          <w:rFonts w:asciiTheme="majorBidi" w:hAnsiTheme="majorBidi" w:cstheme="majorBidi"/>
          <w:sz w:val="24"/>
          <w:szCs w:val="24"/>
          <w:lang w:val="ro-RO"/>
        </w:rPr>
        <w:t xml:space="preserve"> din totalul șomerilor înregistrați sau </w:t>
      </w:r>
      <w:r w:rsidRPr="00644D4E">
        <w:rPr>
          <w:rFonts w:asciiTheme="majorBidi" w:hAnsiTheme="majorBidi" w:cstheme="majorBidi"/>
          <w:b/>
          <w:sz w:val="24"/>
          <w:szCs w:val="24"/>
          <w:lang w:val="ro-RO"/>
        </w:rPr>
        <w:t>69</w:t>
      </w:r>
      <w:r w:rsidR="00936304" w:rsidRPr="00644D4E">
        <w:rPr>
          <w:rFonts w:asciiTheme="majorBidi" w:hAnsiTheme="majorBidi" w:cstheme="majorBidi"/>
          <w:b/>
          <w:sz w:val="24"/>
          <w:szCs w:val="24"/>
          <w:lang w:val="ro-RO"/>
        </w:rPr>
        <w:t>%</w:t>
      </w:r>
      <w:r w:rsidRPr="00644D4E">
        <w:rPr>
          <w:rFonts w:asciiTheme="majorBidi" w:hAnsiTheme="majorBidi" w:cstheme="majorBidi"/>
          <w:sz w:val="24"/>
          <w:szCs w:val="24"/>
          <w:lang w:val="ro-RO"/>
        </w:rPr>
        <w:t xml:space="preserve"> </w:t>
      </w:r>
      <w:r w:rsidR="00936304" w:rsidRPr="00644D4E">
        <w:rPr>
          <w:rFonts w:asciiTheme="majorBidi" w:hAnsiTheme="majorBidi" w:cstheme="majorBidi"/>
          <w:sz w:val="24"/>
          <w:szCs w:val="24"/>
          <w:lang w:val="ro-RO"/>
        </w:rPr>
        <w:t>d</w:t>
      </w:r>
      <w:r w:rsidRPr="00644D4E">
        <w:rPr>
          <w:rFonts w:asciiTheme="majorBidi" w:hAnsiTheme="majorBidi" w:cstheme="majorBidi"/>
          <w:sz w:val="24"/>
          <w:szCs w:val="24"/>
          <w:lang w:val="ro-RO"/>
        </w:rPr>
        <w:t>i</w:t>
      </w:r>
      <w:r w:rsidR="00AB2072" w:rsidRPr="00644D4E">
        <w:rPr>
          <w:rFonts w:asciiTheme="majorBidi" w:hAnsiTheme="majorBidi" w:cstheme="majorBidi"/>
          <w:sz w:val="24"/>
          <w:szCs w:val="24"/>
          <w:lang w:val="ro-RO"/>
        </w:rPr>
        <w:t xml:space="preserve">n totalul șomerilor profilați. </w:t>
      </w:r>
      <w:r w:rsidRPr="00644D4E">
        <w:rPr>
          <w:rFonts w:asciiTheme="majorBidi" w:hAnsiTheme="majorBidi" w:cstheme="majorBidi"/>
          <w:sz w:val="24"/>
          <w:szCs w:val="24"/>
          <w:lang w:val="ro-RO"/>
        </w:rPr>
        <w:t>Totodată</w:t>
      </w:r>
      <w:r w:rsidR="00936304" w:rsidRPr="00644D4E">
        <w:rPr>
          <w:rFonts w:asciiTheme="majorBidi" w:hAnsiTheme="majorBidi" w:cstheme="majorBidi"/>
          <w:sz w:val="24"/>
          <w:szCs w:val="24"/>
          <w:lang w:val="ro-RO"/>
        </w:rPr>
        <w:t>,</w:t>
      </w:r>
      <w:r w:rsidRPr="00644D4E">
        <w:rPr>
          <w:rFonts w:asciiTheme="majorBidi" w:hAnsiTheme="majorBidi" w:cstheme="majorBidi"/>
          <w:sz w:val="24"/>
          <w:szCs w:val="24"/>
          <w:lang w:val="ro-RO"/>
        </w:rPr>
        <w:t xml:space="preserve"> din numărul total al șomerilor pentru care s-a</w:t>
      </w:r>
      <w:r w:rsidR="00D95602" w:rsidRPr="00644D4E">
        <w:rPr>
          <w:rFonts w:asciiTheme="majorBidi" w:hAnsiTheme="majorBidi" w:cstheme="majorBidi"/>
          <w:sz w:val="24"/>
          <w:szCs w:val="24"/>
          <w:lang w:val="ro-RO"/>
        </w:rPr>
        <w:t>u</w:t>
      </w:r>
      <w:r w:rsidRPr="00644D4E">
        <w:rPr>
          <w:rFonts w:asciiTheme="majorBidi" w:hAnsiTheme="majorBidi" w:cstheme="majorBidi"/>
          <w:sz w:val="24"/>
          <w:szCs w:val="24"/>
          <w:lang w:val="ro-RO"/>
        </w:rPr>
        <w:t xml:space="preserve"> elaborat PIA </w:t>
      </w:r>
      <w:r w:rsidR="00D95602" w:rsidRPr="00644D4E">
        <w:rPr>
          <w:rFonts w:asciiTheme="majorBidi" w:hAnsiTheme="majorBidi" w:cstheme="majorBidi"/>
          <w:sz w:val="24"/>
          <w:szCs w:val="24"/>
          <w:lang w:val="ro-RO"/>
        </w:rPr>
        <w:t>–</w:t>
      </w:r>
      <w:r w:rsidR="004C10FB" w:rsidRPr="00644D4E">
        <w:rPr>
          <w:rFonts w:asciiTheme="majorBidi" w:hAnsiTheme="majorBidi" w:cstheme="majorBidi"/>
          <w:sz w:val="24"/>
          <w:szCs w:val="24"/>
          <w:lang w:val="ro-RO"/>
        </w:rPr>
        <w:t xml:space="preserve"> </w:t>
      </w:r>
      <w:r w:rsidR="00AB2072" w:rsidRPr="00644D4E">
        <w:rPr>
          <w:rFonts w:asciiTheme="majorBidi" w:hAnsiTheme="majorBidi" w:cstheme="majorBidi"/>
          <w:sz w:val="24"/>
          <w:szCs w:val="24"/>
          <w:lang w:val="ro-RO"/>
        </w:rPr>
        <w:t>4466</w:t>
      </w:r>
      <w:r w:rsidRPr="00644D4E">
        <w:rPr>
          <w:rFonts w:asciiTheme="majorBidi" w:hAnsiTheme="majorBidi" w:cstheme="majorBidi"/>
          <w:sz w:val="24"/>
          <w:szCs w:val="24"/>
          <w:lang w:val="ro-RO"/>
        </w:rPr>
        <w:t xml:space="preserve"> șomeri (</w:t>
      </w:r>
      <w:r w:rsidR="00AB2072" w:rsidRPr="00644D4E">
        <w:rPr>
          <w:rFonts w:asciiTheme="majorBidi" w:hAnsiTheme="majorBidi" w:cstheme="majorBidi"/>
          <w:b/>
          <w:sz w:val="24"/>
          <w:szCs w:val="24"/>
          <w:lang w:val="ro-RO"/>
        </w:rPr>
        <w:t>30</w:t>
      </w:r>
      <w:r w:rsidRPr="00644D4E">
        <w:rPr>
          <w:rFonts w:asciiTheme="majorBidi" w:hAnsiTheme="majorBidi" w:cstheme="majorBidi"/>
          <w:b/>
          <w:sz w:val="24"/>
          <w:szCs w:val="24"/>
          <w:lang w:val="ro-RO"/>
        </w:rPr>
        <w:t>%</w:t>
      </w:r>
      <w:r w:rsidRPr="00644D4E">
        <w:rPr>
          <w:rFonts w:asciiTheme="majorBidi" w:hAnsiTheme="majorBidi" w:cstheme="majorBidi"/>
          <w:sz w:val="24"/>
          <w:szCs w:val="24"/>
          <w:lang w:val="ro-RO"/>
        </w:rPr>
        <w:t xml:space="preserve">) au fost plasați în câmpul muncii. O altă cauză a neocupării locurilor de muncă fiind infrastructura slab dezvoltată în zona rurală și transportul insuficient pentru creșterea mobilității în scop de muncă. Totodată, sunt persoane care se adresează la STOFM pentru a beneficia de careva înlesniri și sunt foarte greu de angajat în câmpul muncii. </w:t>
      </w:r>
      <w:r w:rsidR="00DD2E0A" w:rsidRPr="00644D4E">
        <w:rPr>
          <w:rFonts w:asciiTheme="majorBidi" w:hAnsiTheme="majorBidi" w:cstheme="majorBidi"/>
          <w:sz w:val="24"/>
          <w:szCs w:val="24"/>
          <w:lang w:val="ro-RO"/>
        </w:rPr>
        <w:t xml:space="preserve">Din numărul total de </w:t>
      </w:r>
      <w:proofErr w:type="spellStart"/>
      <w:r w:rsidR="00DD2E0A" w:rsidRPr="00644D4E">
        <w:rPr>
          <w:rFonts w:asciiTheme="majorBidi" w:hAnsiTheme="majorBidi" w:cstheme="majorBidi"/>
          <w:sz w:val="24"/>
          <w:szCs w:val="24"/>
          <w:lang w:val="ro-RO"/>
        </w:rPr>
        <w:t>şomeri</w:t>
      </w:r>
      <w:proofErr w:type="spellEnd"/>
      <w:r w:rsidR="00DD2E0A" w:rsidRPr="00644D4E">
        <w:rPr>
          <w:rFonts w:asciiTheme="majorBidi" w:hAnsiTheme="majorBidi" w:cstheme="majorBidi"/>
          <w:sz w:val="24"/>
          <w:szCs w:val="24"/>
          <w:lang w:val="ro-RO"/>
        </w:rPr>
        <w:t xml:space="preserve"> </w:t>
      </w:r>
      <w:proofErr w:type="spellStart"/>
      <w:r w:rsidR="00DD2E0A" w:rsidRPr="00644D4E">
        <w:rPr>
          <w:rFonts w:asciiTheme="majorBidi" w:hAnsiTheme="majorBidi" w:cstheme="majorBidi"/>
          <w:sz w:val="24"/>
          <w:szCs w:val="24"/>
          <w:lang w:val="ro-RO"/>
        </w:rPr>
        <w:t>plasaţi</w:t>
      </w:r>
      <w:proofErr w:type="spellEnd"/>
      <w:r w:rsidR="00DD2E0A" w:rsidRPr="00644D4E">
        <w:rPr>
          <w:rFonts w:asciiTheme="majorBidi" w:hAnsiTheme="majorBidi" w:cstheme="majorBidi"/>
          <w:sz w:val="24"/>
          <w:szCs w:val="24"/>
          <w:lang w:val="ro-RO"/>
        </w:rPr>
        <w:t xml:space="preserve"> în câmpul muncii persoanele provenite din muncă au fost plasate în câmpul muncii cu o pondere de </w:t>
      </w:r>
      <w:r w:rsidR="00DD2E0A" w:rsidRPr="00644D4E">
        <w:rPr>
          <w:rFonts w:asciiTheme="majorBidi" w:hAnsiTheme="majorBidi" w:cstheme="majorBidi"/>
          <w:b/>
          <w:sz w:val="24"/>
          <w:szCs w:val="24"/>
          <w:lang w:val="ro-RO"/>
        </w:rPr>
        <w:t>7</w:t>
      </w:r>
      <w:r w:rsidR="00AB2072" w:rsidRPr="00644D4E">
        <w:rPr>
          <w:rFonts w:asciiTheme="majorBidi" w:hAnsiTheme="majorBidi" w:cstheme="majorBidi"/>
          <w:b/>
          <w:sz w:val="24"/>
          <w:szCs w:val="24"/>
          <w:lang w:val="ro-RO"/>
        </w:rPr>
        <w:t>9</w:t>
      </w:r>
      <w:r w:rsidR="00DD2E0A" w:rsidRPr="00644D4E">
        <w:rPr>
          <w:rFonts w:asciiTheme="majorBidi" w:hAnsiTheme="majorBidi" w:cstheme="majorBidi"/>
          <w:b/>
          <w:sz w:val="24"/>
          <w:szCs w:val="24"/>
          <w:lang w:val="ro-RO"/>
        </w:rPr>
        <w:t xml:space="preserve">% </w:t>
      </w:r>
      <w:r w:rsidR="00DD2E0A" w:rsidRPr="00644D4E">
        <w:rPr>
          <w:rFonts w:asciiTheme="majorBidi" w:hAnsiTheme="majorBidi" w:cstheme="majorBidi"/>
          <w:sz w:val="24"/>
          <w:szCs w:val="24"/>
          <w:lang w:val="ro-RO"/>
        </w:rPr>
        <w:t>(</w:t>
      </w:r>
      <w:r w:rsidR="00AB2072" w:rsidRPr="00644D4E">
        <w:rPr>
          <w:rFonts w:asciiTheme="majorBidi" w:hAnsiTheme="majorBidi" w:cstheme="majorBidi"/>
          <w:sz w:val="24"/>
          <w:szCs w:val="24"/>
          <w:lang w:val="ro-RO"/>
        </w:rPr>
        <w:t>7028</w:t>
      </w:r>
      <w:r w:rsidR="00DD2E0A" w:rsidRPr="00644D4E">
        <w:rPr>
          <w:rFonts w:asciiTheme="majorBidi" w:hAnsiTheme="majorBidi" w:cstheme="majorBidi"/>
          <w:sz w:val="24"/>
          <w:szCs w:val="24"/>
          <w:lang w:val="ro-RO"/>
        </w:rPr>
        <w:t xml:space="preserve"> persoane) din numărul total de șomeri plasați în câmpul muncii (8</w:t>
      </w:r>
      <w:r w:rsidR="00AB2072" w:rsidRPr="00644D4E">
        <w:rPr>
          <w:rFonts w:asciiTheme="majorBidi" w:hAnsiTheme="majorBidi" w:cstheme="majorBidi"/>
          <w:sz w:val="24"/>
          <w:szCs w:val="24"/>
          <w:lang w:val="ro-RO"/>
        </w:rPr>
        <w:t>916</w:t>
      </w:r>
      <w:r w:rsidR="00DD2E0A" w:rsidRPr="00644D4E">
        <w:rPr>
          <w:rFonts w:asciiTheme="majorBidi" w:hAnsiTheme="majorBidi" w:cstheme="majorBidi"/>
          <w:sz w:val="24"/>
          <w:szCs w:val="24"/>
          <w:lang w:val="ro-RO"/>
        </w:rPr>
        <w:t xml:space="preserve"> persoane). </w:t>
      </w:r>
    </w:p>
    <w:p w14:paraId="7EDD98B3" w14:textId="71A25445" w:rsidR="00DF16FC" w:rsidRPr="00644D4E" w:rsidRDefault="00097B64" w:rsidP="00DF16FC">
      <w:pPr>
        <w:spacing w:after="120" w:line="240" w:lineRule="auto"/>
        <w:ind w:left="284"/>
        <w:jc w:val="both"/>
        <w:rPr>
          <w:rFonts w:asciiTheme="majorBidi" w:hAnsiTheme="majorBidi" w:cstheme="majorBidi"/>
          <w:sz w:val="24"/>
          <w:szCs w:val="24"/>
          <w:lang w:val="ro-RO"/>
        </w:rPr>
      </w:pPr>
      <w:r w:rsidRPr="00644D4E">
        <w:rPr>
          <w:rFonts w:asciiTheme="majorBidi" w:hAnsiTheme="majorBidi" w:cstheme="majorBidi"/>
          <w:sz w:val="24"/>
          <w:szCs w:val="24"/>
          <w:lang w:val="ro-RO"/>
        </w:rPr>
        <w:t>P</w:t>
      </w:r>
      <w:r w:rsidR="00554066" w:rsidRPr="00644D4E">
        <w:rPr>
          <w:rFonts w:asciiTheme="majorBidi" w:hAnsiTheme="majorBidi" w:cstheme="majorBidi"/>
          <w:sz w:val="24"/>
          <w:szCs w:val="24"/>
          <w:lang w:val="ro-RO"/>
        </w:rPr>
        <w:t>ersoanele pentru prima dată în căutarea unui loc de muncă</w:t>
      </w:r>
      <w:r w:rsidR="00554066" w:rsidRPr="00644D4E">
        <w:rPr>
          <w:rFonts w:asciiTheme="majorBidi" w:hAnsiTheme="majorBidi" w:cstheme="majorBidi"/>
          <w:b/>
          <w:sz w:val="24"/>
          <w:szCs w:val="24"/>
          <w:lang w:val="ro-RO"/>
        </w:rPr>
        <w:t xml:space="preserve"> </w:t>
      </w:r>
      <w:r w:rsidR="00E17092" w:rsidRPr="00644D4E">
        <w:rPr>
          <w:rFonts w:asciiTheme="majorBidi" w:hAnsiTheme="majorBidi" w:cstheme="majorBidi"/>
          <w:sz w:val="24"/>
          <w:szCs w:val="24"/>
          <w:lang w:val="ro-RO"/>
        </w:rPr>
        <w:t>alcătuiesc</w:t>
      </w:r>
      <w:r w:rsidR="00825B4C" w:rsidRPr="00644D4E">
        <w:rPr>
          <w:rFonts w:asciiTheme="majorBidi" w:hAnsiTheme="majorBidi" w:cstheme="majorBidi"/>
          <w:b/>
          <w:sz w:val="24"/>
          <w:szCs w:val="24"/>
          <w:lang w:val="ro-RO"/>
        </w:rPr>
        <w:t xml:space="preserve"> </w:t>
      </w:r>
      <w:r w:rsidR="00554066" w:rsidRPr="00644D4E">
        <w:rPr>
          <w:rFonts w:asciiTheme="majorBidi" w:hAnsiTheme="majorBidi" w:cstheme="majorBidi"/>
          <w:b/>
          <w:sz w:val="24"/>
          <w:szCs w:val="24"/>
          <w:lang w:val="ro-RO"/>
        </w:rPr>
        <w:t>2</w:t>
      </w:r>
      <w:r w:rsidR="00E17092" w:rsidRPr="00644D4E">
        <w:rPr>
          <w:rFonts w:asciiTheme="majorBidi" w:hAnsiTheme="majorBidi" w:cstheme="majorBidi"/>
          <w:b/>
          <w:sz w:val="24"/>
          <w:szCs w:val="24"/>
          <w:lang w:val="ro-RO"/>
        </w:rPr>
        <w:t>1</w:t>
      </w:r>
      <w:r w:rsidR="00554066" w:rsidRPr="00644D4E">
        <w:rPr>
          <w:rFonts w:asciiTheme="majorBidi" w:hAnsiTheme="majorBidi" w:cstheme="majorBidi"/>
          <w:b/>
          <w:sz w:val="24"/>
          <w:szCs w:val="24"/>
          <w:lang w:val="ro-RO"/>
        </w:rPr>
        <w:t>%</w:t>
      </w:r>
      <w:r w:rsidR="00825B4C" w:rsidRPr="00644D4E">
        <w:rPr>
          <w:rFonts w:asciiTheme="majorBidi" w:hAnsiTheme="majorBidi" w:cstheme="majorBidi"/>
          <w:b/>
          <w:sz w:val="24"/>
          <w:szCs w:val="24"/>
          <w:lang w:val="ro-RO"/>
        </w:rPr>
        <w:t xml:space="preserve"> </w:t>
      </w:r>
      <w:r w:rsidR="00E17092" w:rsidRPr="00644D4E">
        <w:rPr>
          <w:rFonts w:asciiTheme="majorBidi" w:hAnsiTheme="majorBidi" w:cstheme="majorBidi"/>
          <w:sz w:val="24"/>
          <w:szCs w:val="24"/>
          <w:lang w:val="ro-RO"/>
        </w:rPr>
        <w:t>din total plasați</w:t>
      </w:r>
      <w:r w:rsidR="001E2085" w:rsidRPr="00644D4E">
        <w:rPr>
          <w:rFonts w:asciiTheme="majorBidi" w:hAnsiTheme="majorBidi" w:cstheme="majorBidi"/>
          <w:sz w:val="24"/>
          <w:szCs w:val="24"/>
          <w:lang w:val="ro-RO"/>
        </w:rPr>
        <w:t>, din care 6</w:t>
      </w:r>
      <w:r w:rsidR="00C167AA" w:rsidRPr="00644D4E">
        <w:rPr>
          <w:rFonts w:asciiTheme="majorBidi" w:hAnsiTheme="majorBidi" w:cstheme="majorBidi"/>
          <w:sz w:val="24"/>
          <w:szCs w:val="24"/>
          <w:lang w:val="ro-RO"/>
        </w:rPr>
        <w:t>7</w:t>
      </w:r>
      <w:r w:rsidR="001E2085" w:rsidRPr="00644D4E">
        <w:rPr>
          <w:rFonts w:asciiTheme="majorBidi" w:hAnsiTheme="majorBidi" w:cstheme="majorBidi"/>
          <w:sz w:val="24"/>
          <w:szCs w:val="24"/>
          <w:lang w:val="ro-RO"/>
        </w:rPr>
        <w:t>% sunt bărbați</w:t>
      </w:r>
      <w:r w:rsidR="003F1E80" w:rsidRPr="00644D4E">
        <w:rPr>
          <w:rFonts w:asciiTheme="majorBidi" w:hAnsiTheme="majorBidi" w:cstheme="majorBidi"/>
          <w:sz w:val="24"/>
          <w:szCs w:val="24"/>
          <w:lang w:val="ro-RO"/>
        </w:rPr>
        <w:t xml:space="preserve"> </w:t>
      </w:r>
      <w:proofErr w:type="spellStart"/>
      <w:r w:rsidR="003F1E80" w:rsidRPr="00644D4E">
        <w:rPr>
          <w:rFonts w:asciiTheme="majorBidi" w:hAnsiTheme="majorBidi" w:cstheme="majorBidi"/>
          <w:sz w:val="24"/>
          <w:szCs w:val="24"/>
          <w:lang w:val="ro-RO"/>
        </w:rPr>
        <w:t>şi</w:t>
      </w:r>
      <w:proofErr w:type="spellEnd"/>
      <w:r w:rsidR="003F1E80" w:rsidRPr="00644D4E">
        <w:rPr>
          <w:rFonts w:asciiTheme="majorBidi" w:hAnsiTheme="majorBidi" w:cstheme="majorBidi"/>
          <w:sz w:val="24"/>
          <w:szCs w:val="24"/>
          <w:lang w:val="ro-RO"/>
        </w:rPr>
        <w:t xml:space="preserve"> 3</w:t>
      </w:r>
      <w:r w:rsidR="00C167AA" w:rsidRPr="00644D4E">
        <w:rPr>
          <w:rFonts w:asciiTheme="majorBidi" w:hAnsiTheme="majorBidi" w:cstheme="majorBidi"/>
          <w:sz w:val="24"/>
          <w:szCs w:val="24"/>
          <w:lang w:val="ro-RO"/>
        </w:rPr>
        <w:t>3</w:t>
      </w:r>
      <w:r w:rsidR="003F1E80" w:rsidRPr="00644D4E">
        <w:rPr>
          <w:rFonts w:asciiTheme="majorBidi" w:hAnsiTheme="majorBidi" w:cstheme="majorBidi"/>
          <w:sz w:val="24"/>
          <w:szCs w:val="24"/>
          <w:lang w:val="ro-RO"/>
        </w:rPr>
        <w:t>% femei</w:t>
      </w:r>
      <w:r w:rsidR="001E2085" w:rsidRPr="00644D4E">
        <w:rPr>
          <w:rFonts w:asciiTheme="majorBidi" w:hAnsiTheme="majorBidi" w:cstheme="majorBidi"/>
          <w:sz w:val="24"/>
          <w:szCs w:val="24"/>
          <w:lang w:val="ro-RO"/>
        </w:rPr>
        <w:t>.</w:t>
      </w:r>
      <w:r w:rsidR="00825B4C" w:rsidRPr="00644D4E">
        <w:rPr>
          <w:rFonts w:asciiTheme="majorBidi" w:hAnsiTheme="majorBidi" w:cstheme="majorBidi"/>
          <w:sz w:val="24"/>
          <w:szCs w:val="24"/>
          <w:lang w:val="ro-RO"/>
        </w:rPr>
        <w:t xml:space="preserve"> </w:t>
      </w:r>
      <w:r w:rsidR="001E2085" w:rsidRPr="00644D4E">
        <w:rPr>
          <w:rFonts w:asciiTheme="majorBidi" w:hAnsiTheme="majorBidi" w:cstheme="majorBidi"/>
          <w:sz w:val="24"/>
          <w:szCs w:val="24"/>
          <w:lang w:val="ro-RO"/>
        </w:rPr>
        <w:t>Această categorie de șomeri</w:t>
      </w:r>
      <w:r w:rsidR="00825B4C" w:rsidRPr="00644D4E">
        <w:rPr>
          <w:rFonts w:asciiTheme="majorBidi" w:hAnsiTheme="majorBidi" w:cstheme="majorBidi"/>
          <w:sz w:val="24"/>
          <w:szCs w:val="24"/>
          <w:lang w:val="ro-RO"/>
        </w:rPr>
        <w:t xml:space="preserve"> se </w:t>
      </w:r>
      <w:r w:rsidR="001E2085" w:rsidRPr="00644D4E">
        <w:rPr>
          <w:rFonts w:asciiTheme="majorBidi" w:hAnsiTheme="majorBidi" w:cstheme="majorBidi"/>
          <w:sz w:val="24"/>
          <w:szCs w:val="24"/>
          <w:lang w:val="ro-RO"/>
        </w:rPr>
        <w:t>integreaz</w:t>
      </w:r>
      <w:r w:rsidR="00825B4C" w:rsidRPr="00644D4E">
        <w:rPr>
          <w:rFonts w:asciiTheme="majorBidi" w:hAnsiTheme="majorBidi" w:cstheme="majorBidi"/>
          <w:sz w:val="24"/>
          <w:szCs w:val="24"/>
          <w:lang w:val="ro-RO"/>
        </w:rPr>
        <w:t xml:space="preserve">ă mai greu </w:t>
      </w:r>
      <w:r w:rsidR="001E2085" w:rsidRPr="00644D4E">
        <w:rPr>
          <w:rFonts w:asciiTheme="majorBidi" w:hAnsiTheme="majorBidi" w:cstheme="majorBidi"/>
          <w:sz w:val="24"/>
          <w:szCs w:val="24"/>
          <w:lang w:val="ro-RO"/>
        </w:rPr>
        <w:t>în câmpul muncii din lipsa</w:t>
      </w:r>
      <w:r w:rsidR="00825B4C" w:rsidRPr="00644D4E">
        <w:rPr>
          <w:rFonts w:asciiTheme="majorBidi" w:hAnsiTheme="majorBidi" w:cstheme="majorBidi"/>
          <w:sz w:val="24"/>
          <w:szCs w:val="24"/>
          <w:lang w:val="ro-RO"/>
        </w:rPr>
        <w:t xml:space="preserve"> experienț</w:t>
      </w:r>
      <w:r w:rsidR="001E2085" w:rsidRPr="00644D4E">
        <w:rPr>
          <w:rFonts w:asciiTheme="majorBidi" w:hAnsiTheme="majorBidi" w:cstheme="majorBidi"/>
          <w:sz w:val="24"/>
          <w:szCs w:val="24"/>
          <w:lang w:val="ro-RO"/>
        </w:rPr>
        <w:t>ei</w:t>
      </w:r>
      <w:r w:rsidR="00825B4C" w:rsidRPr="00644D4E">
        <w:rPr>
          <w:rFonts w:asciiTheme="majorBidi" w:hAnsiTheme="majorBidi" w:cstheme="majorBidi"/>
          <w:sz w:val="24"/>
          <w:szCs w:val="24"/>
          <w:lang w:val="ro-RO"/>
        </w:rPr>
        <w:t xml:space="preserve"> de muncă</w:t>
      </w:r>
      <w:r w:rsidR="00B31247" w:rsidRPr="00644D4E">
        <w:rPr>
          <w:rFonts w:asciiTheme="majorBidi" w:hAnsiTheme="majorBidi" w:cstheme="majorBidi"/>
          <w:sz w:val="24"/>
          <w:szCs w:val="24"/>
          <w:lang w:val="ro-RO"/>
        </w:rPr>
        <w:t>.</w:t>
      </w:r>
      <w:r w:rsidR="00825B4C" w:rsidRPr="00644D4E">
        <w:rPr>
          <w:rFonts w:asciiTheme="majorBidi" w:hAnsiTheme="majorBidi" w:cstheme="majorBidi"/>
          <w:sz w:val="24"/>
          <w:szCs w:val="24"/>
          <w:lang w:val="ro-RO"/>
        </w:rPr>
        <w:t xml:space="preserve"> </w:t>
      </w:r>
      <w:r w:rsidR="003F1E80" w:rsidRPr="00644D4E">
        <w:rPr>
          <w:rFonts w:asciiTheme="majorBidi" w:hAnsiTheme="majorBidi" w:cstheme="majorBidi"/>
          <w:sz w:val="24"/>
          <w:szCs w:val="24"/>
          <w:lang w:val="ro-RO"/>
        </w:rPr>
        <w:t>Totodată</w:t>
      </w:r>
      <w:r w:rsidR="00B31247" w:rsidRPr="00644D4E">
        <w:rPr>
          <w:rFonts w:asciiTheme="majorBidi" w:hAnsiTheme="majorBidi" w:cstheme="majorBidi"/>
          <w:sz w:val="24"/>
          <w:szCs w:val="24"/>
          <w:lang w:val="ro-RO"/>
        </w:rPr>
        <w:t>,</w:t>
      </w:r>
      <w:r w:rsidR="003F1E80" w:rsidRPr="00644D4E">
        <w:rPr>
          <w:rFonts w:asciiTheme="majorBidi" w:hAnsiTheme="majorBidi" w:cstheme="majorBidi"/>
          <w:sz w:val="24"/>
          <w:szCs w:val="24"/>
          <w:lang w:val="ro-RO"/>
        </w:rPr>
        <w:t xml:space="preserve"> </w:t>
      </w:r>
      <w:r w:rsidR="001E2085" w:rsidRPr="00644D4E">
        <w:rPr>
          <w:rFonts w:asciiTheme="majorBidi" w:hAnsiTheme="majorBidi" w:cstheme="majorBidi"/>
          <w:sz w:val="24"/>
          <w:szCs w:val="24"/>
          <w:lang w:val="ro-RO"/>
        </w:rPr>
        <w:t>femeile tinere</w:t>
      </w:r>
      <w:r w:rsidR="00753C75" w:rsidRPr="00644D4E">
        <w:rPr>
          <w:rFonts w:asciiTheme="majorBidi" w:hAnsiTheme="majorBidi" w:cstheme="majorBidi"/>
          <w:sz w:val="24"/>
          <w:szCs w:val="24"/>
          <w:lang w:val="ro-RO"/>
        </w:rPr>
        <w:t xml:space="preserve"> fără experiență de muncă</w:t>
      </w:r>
      <w:r w:rsidR="001E2085" w:rsidRPr="00644D4E">
        <w:rPr>
          <w:rFonts w:asciiTheme="majorBidi" w:hAnsiTheme="majorBidi" w:cstheme="majorBidi"/>
          <w:sz w:val="24"/>
          <w:szCs w:val="24"/>
          <w:lang w:val="ro-RO"/>
        </w:rPr>
        <w:t xml:space="preserve"> </w:t>
      </w:r>
      <w:proofErr w:type="spellStart"/>
      <w:r w:rsidR="003F1E80" w:rsidRPr="00644D4E">
        <w:rPr>
          <w:rFonts w:asciiTheme="majorBidi" w:hAnsiTheme="majorBidi" w:cstheme="majorBidi"/>
          <w:sz w:val="24"/>
          <w:szCs w:val="24"/>
          <w:lang w:val="ro-RO"/>
        </w:rPr>
        <w:t>şi</w:t>
      </w:r>
      <w:proofErr w:type="spellEnd"/>
      <w:r w:rsidR="003F1E80" w:rsidRPr="00644D4E">
        <w:rPr>
          <w:rFonts w:asciiTheme="majorBidi" w:hAnsiTheme="majorBidi" w:cstheme="majorBidi"/>
          <w:sz w:val="24"/>
          <w:szCs w:val="24"/>
          <w:lang w:val="ro-RO"/>
        </w:rPr>
        <w:t xml:space="preserve"> cu c</w:t>
      </w:r>
      <w:r w:rsidR="001E2085" w:rsidRPr="00644D4E">
        <w:rPr>
          <w:rFonts w:asciiTheme="majorBidi" w:hAnsiTheme="majorBidi" w:cstheme="majorBidi"/>
          <w:sz w:val="24"/>
          <w:szCs w:val="24"/>
          <w:lang w:val="ro-RO"/>
        </w:rPr>
        <w:t xml:space="preserve">opii mici </w:t>
      </w:r>
      <w:r w:rsidR="003F1E80" w:rsidRPr="00644D4E">
        <w:rPr>
          <w:rFonts w:asciiTheme="majorBidi" w:hAnsiTheme="majorBidi" w:cstheme="majorBidi"/>
          <w:sz w:val="24"/>
          <w:szCs w:val="24"/>
          <w:lang w:val="ro-RO"/>
        </w:rPr>
        <w:t xml:space="preserve">din lipsa </w:t>
      </w:r>
      <w:proofErr w:type="spellStart"/>
      <w:r w:rsidR="003F1E80" w:rsidRPr="00644D4E">
        <w:rPr>
          <w:rFonts w:asciiTheme="majorBidi" w:hAnsiTheme="majorBidi" w:cstheme="majorBidi"/>
          <w:sz w:val="24"/>
          <w:szCs w:val="24"/>
          <w:lang w:val="ro-RO"/>
        </w:rPr>
        <w:t>serv</w:t>
      </w:r>
      <w:r w:rsidR="004A0F25" w:rsidRPr="00644D4E">
        <w:rPr>
          <w:rFonts w:asciiTheme="majorBidi" w:hAnsiTheme="majorBidi" w:cstheme="majorBidi"/>
          <w:sz w:val="24"/>
          <w:szCs w:val="24"/>
          <w:lang w:val="ro-RO"/>
        </w:rPr>
        <w:t>icilor</w:t>
      </w:r>
      <w:proofErr w:type="spellEnd"/>
      <w:r w:rsidR="004A0F25" w:rsidRPr="00644D4E">
        <w:rPr>
          <w:rFonts w:asciiTheme="majorBidi" w:hAnsiTheme="majorBidi" w:cstheme="majorBidi"/>
          <w:sz w:val="24"/>
          <w:szCs w:val="24"/>
          <w:lang w:val="ro-RO"/>
        </w:rPr>
        <w:t xml:space="preserve"> de îngrijire alternative (</w:t>
      </w:r>
      <w:r w:rsidR="003F1E80" w:rsidRPr="00644D4E">
        <w:rPr>
          <w:rFonts w:asciiTheme="majorBidi" w:hAnsiTheme="majorBidi" w:cstheme="majorBidi"/>
          <w:sz w:val="24"/>
          <w:szCs w:val="24"/>
          <w:lang w:val="ro-RO"/>
        </w:rPr>
        <w:t>creșe la locul de muncă, servicii de îngrijire individualizată și creșe de tip familiar</w:t>
      </w:r>
      <w:r w:rsidR="004A0F25" w:rsidRPr="00644D4E">
        <w:rPr>
          <w:rFonts w:asciiTheme="majorBidi" w:hAnsiTheme="majorBidi" w:cstheme="majorBidi"/>
          <w:sz w:val="24"/>
          <w:szCs w:val="24"/>
          <w:lang w:val="ro-RO"/>
        </w:rPr>
        <w:t>)</w:t>
      </w:r>
      <w:r w:rsidR="003F1E80" w:rsidRPr="00644D4E">
        <w:rPr>
          <w:rFonts w:asciiTheme="majorBidi" w:hAnsiTheme="majorBidi" w:cstheme="majorBidi"/>
          <w:sz w:val="24"/>
          <w:szCs w:val="24"/>
          <w:lang w:val="ro-RO"/>
        </w:rPr>
        <w:t xml:space="preserve"> nu pot fi angajate în câmpul muncii.</w:t>
      </w:r>
      <w:r w:rsidR="00DF16FC" w:rsidRPr="00644D4E">
        <w:rPr>
          <w:rFonts w:asciiTheme="majorBidi" w:hAnsiTheme="majorBidi" w:cstheme="majorBidi"/>
          <w:sz w:val="24"/>
          <w:szCs w:val="24"/>
          <w:lang w:val="ro-RO"/>
        </w:rPr>
        <w:t xml:space="preserve"> </w:t>
      </w:r>
      <w:r w:rsidR="008A74A1" w:rsidRPr="00644D4E">
        <w:rPr>
          <w:rFonts w:asciiTheme="majorBidi" w:hAnsiTheme="majorBidi" w:cstheme="majorBidi"/>
          <w:sz w:val="24"/>
          <w:szCs w:val="24"/>
          <w:lang w:val="ro-RO"/>
        </w:rPr>
        <w:t>Deși,</w:t>
      </w:r>
      <w:r w:rsidR="00DF16FC" w:rsidRPr="00644D4E">
        <w:rPr>
          <w:rFonts w:asciiTheme="majorBidi" w:hAnsiTheme="majorBidi" w:cstheme="majorBidi"/>
          <w:sz w:val="24"/>
          <w:szCs w:val="24"/>
          <w:lang w:val="ro-RO"/>
        </w:rPr>
        <w:t xml:space="preserve"> </w:t>
      </w:r>
      <w:r w:rsidR="00AF2343" w:rsidRPr="00644D4E">
        <w:rPr>
          <w:rFonts w:asciiTheme="majorBidi" w:hAnsiTheme="majorBidi" w:cstheme="majorBidi"/>
          <w:sz w:val="24"/>
          <w:szCs w:val="24"/>
          <w:lang w:val="ro-RO"/>
        </w:rPr>
        <w:t>52</w:t>
      </w:r>
      <w:r w:rsidR="00CC2CD7" w:rsidRPr="00644D4E">
        <w:rPr>
          <w:rFonts w:asciiTheme="majorBidi" w:hAnsiTheme="majorBidi" w:cstheme="majorBidi"/>
          <w:sz w:val="24"/>
          <w:szCs w:val="24"/>
          <w:lang w:val="ro-RO"/>
        </w:rPr>
        <w:t xml:space="preserve">% </w:t>
      </w:r>
      <w:r w:rsidR="008A74A1" w:rsidRPr="00644D4E">
        <w:rPr>
          <w:rFonts w:asciiTheme="majorBidi" w:hAnsiTheme="majorBidi" w:cstheme="majorBidi"/>
          <w:sz w:val="24"/>
          <w:szCs w:val="24"/>
          <w:lang w:val="ro-RO"/>
        </w:rPr>
        <w:t xml:space="preserve">din șomerii plasați în câmpul muncii aveau un </w:t>
      </w:r>
      <w:r w:rsidR="004A0F25" w:rsidRPr="00644D4E">
        <w:rPr>
          <w:rFonts w:asciiTheme="majorBidi" w:hAnsiTheme="majorBidi" w:cstheme="majorBidi"/>
          <w:sz w:val="24"/>
          <w:szCs w:val="24"/>
          <w:lang w:val="ro-RO"/>
        </w:rPr>
        <w:t xml:space="preserve">nivel </w:t>
      </w:r>
      <w:r w:rsidR="00445C35" w:rsidRPr="00644D4E">
        <w:rPr>
          <w:rFonts w:asciiTheme="majorBidi" w:hAnsiTheme="majorBidi" w:cstheme="majorBidi"/>
          <w:sz w:val="24"/>
          <w:szCs w:val="24"/>
          <w:lang w:val="ro-RO"/>
        </w:rPr>
        <w:t xml:space="preserve">redus </w:t>
      </w:r>
      <w:r w:rsidR="004A0F25" w:rsidRPr="00644D4E">
        <w:rPr>
          <w:rFonts w:asciiTheme="majorBidi" w:hAnsiTheme="majorBidi" w:cstheme="majorBidi"/>
          <w:sz w:val="24"/>
          <w:szCs w:val="24"/>
          <w:lang w:val="ro-RO"/>
        </w:rPr>
        <w:t>de in</w:t>
      </w:r>
      <w:r w:rsidR="00445C35" w:rsidRPr="00644D4E">
        <w:rPr>
          <w:rFonts w:asciiTheme="majorBidi" w:hAnsiTheme="majorBidi" w:cstheme="majorBidi"/>
          <w:sz w:val="24"/>
          <w:szCs w:val="24"/>
          <w:lang w:val="ro-RO"/>
        </w:rPr>
        <w:t>struire</w:t>
      </w:r>
      <w:r w:rsidR="00B31247" w:rsidRPr="00644D4E">
        <w:rPr>
          <w:rFonts w:asciiTheme="majorBidi" w:hAnsiTheme="majorBidi" w:cstheme="majorBidi"/>
          <w:sz w:val="24"/>
          <w:szCs w:val="24"/>
          <w:lang w:val="ro-RO"/>
        </w:rPr>
        <w:t xml:space="preserve"> </w:t>
      </w:r>
      <w:r w:rsidR="00AF2343" w:rsidRPr="00644D4E">
        <w:rPr>
          <w:rFonts w:asciiTheme="majorBidi" w:hAnsiTheme="majorBidi" w:cstheme="majorBidi"/>
          <w:sz w:val="24"/>
          <w:szCs w:val="24"/>
          <w:lang w:val="ro-RO"/>
        </w:rPr>
        <w:t>(studii primare/gimnaziale)</w:t>
      </w:r>
      <w:r w:rsidR="00CC2CD7" w:rsidRPr="00644D4E">
        <w:rPr>
          <w:rFonts w:asciiTheme="majorBidi" w:hAnsiTheme="majorBidi" w:cstheme="majorBidi"/>
          <w:sz w:val="24"/>
          <w:szCs w:val="24"/>
          <w:lang w:val="ro-RO"/>
        </w:rPr>
        <w:t xml:space="preserve">, </w:t>
      </w:r>
      <w:r w:rsidR="008A74A1" w:rsidRPr="00644D4E">
        <w:rPr>
          <w:rFonts w:asciiTheme="majorBidi" w:hAnsiTheme="majorBidi" w:cstheme="majorBidi"/>
          <w:sz w:val="24"/>
          <w:szCs w:val="24"/>
          <w:lang w:val="ro-RO"/>
        </w:rPr>
        <w:t xml:space="preserve">din cauza </w:t>
      </w:r>
      <w:r w:rsidR="008A74A1" w:rsidRPr="00644D4E">
        <w:rPr>
          <w:rFonts w:asciiTheme="majorBidi" w:hAnsiTheme="majorBidi" w:cstheme="majorBidi"/>
          <w:sz w:val="24"/>
          <w:szCs w:val="24"/>
          <w:lang w:val="ro-RO"/>
        </w:rPr>
        <w:lastRenderedPageBreak/>
        <w:t>deficitului mare de forță de muncă calificată pe piața forței de muncă, totuși au fost angajați de către agenții economici pentru a fi instru</w:t>
      </w:r>
      <w:r w:rsidR="00EC09B7" w:rsidRPr="00644D4E">
        <w:rPr>
          <w:rFonts w:asciiTheme="majorBidi" w:hAnsiTheme="majorBidi" w:cstheme="majorBidi"/>
          <w:sz w:val="24"/>
          <w:szCs w:val="24"/>
          <w:lang w:val="ro-RO"/>
        </w:rPr>
        <w:t>i</w:t>
      </w:r>
      <w:r w:rsidR="008A74A1" w:rsidRPr="00644D4E">
        <w:rPr>
          <w:rFonts w:asciiTheme="majorBidi" w:hAnsiTheme="majorBidi" w:cstheme="majorBidi"/>
          <w:sz w:val="24"/>
          <w:szCs w:val="24"/>
          <w:lang w:val="ro-RO"/>
        </w:rPr>
        <w:t xml:space="preserve">ți ulterior la locul de muncă.  </w:t>
      </w:r>
    </w:p>
    <w:p w14:paraId="16380503" w14:textId="77777777" w:rsidR="00753C75" w:rsidRPr="00644D4E" w:rsidRDefault="00C50972" w:rsidP="00C50972">
      <w:pPr>
        <w:spacing w:after="120" w:line="240" w:lineRule="auto"/>
        <w:ind w:left="284"/>
        <w:jc w:val="both"/>
        <w:rPr>
          <w:rStyle w:val="Heading3Char"/>
          <w:rFonts w:eastAsiaTheme="minorHAnsi"/>
          <w:b w:val="0"/>
          <w:i w:val="0"/>
          <w:color w:val="auto"/>
          <w:u w:val="none"/>
        </w:rPr>
      </w:pPr>
      <w:r w:rsidRPr="00644D4E">
        <w:rPr>
          <w:rFonts w:ascii="Times New Roman" w:hAnsi="Times New Roman" w:cs="Times New Roman"/>
          <w:sz w:val="24"/>
          <w:szCs w:val="24"/>
          <w:lang w:val="ro-RO"/>
        </w:rPr>
        <w:t xml:space="preserve">După medii de reședință, persoanele din mediul rural s-au angajat cu o pondere de </w:t>
      </w:r>
      <w:r w:rsidRPr="00644D4E">
        <w:rPr>
          <w:rFonts w:ascii="Times New Roman" w:hAnsi="Times New Roman" w:cs="Times New Roman"/>
          <w:b/>
          <w:sz w:val="24"/>
          <w:szCs w:val="24"/>
          <w:lang w:val="ro-RO"/>
        </w:rPr>
        <w:t>6</w:t>
      </w:r>
      <w:r w:rsidR="00C167AA" w:rsidRPr="00644D4E">
        <w:rPr>
          <w:rFonts w:ascii="Times New Roman" w:hAnsi="Times New Roman" w:cs="Times New Roman"/>
          <w:b/>
          <w:sz w:val="24"/>
          <w:szCs w:val="24"/>
          <w:lang w:val="ro-RO"/>
        </w:rPr>
        <w:t>3</w:t>
      </w:r>
      <w:r w:rsidRPr="00644D4E">
        <w:rPr>
          <w:rFonts w:ascii="Times New Roman" w:hAnsi="Times New Roman" w:cs="Times New Roman"/>
          <w:b/>
          <w:sz w:val="24"/>
          <w:szCs w:val="24"/>
          <w:lang w:val="ro-RO"/>
        </w:rPr>
        <w:t>%</w:t>
      </w:r>
      <w:r w:rsidRPr="00644D4E">
        <w:rPr>
          <w:rFonts w:ascii="Times New Roman" w:hAnsi="Times New Roman" w:cs="Times New Roman"/>
          <w:sz w:val="24"/>
          <w:szCs w:val="24"/>
          <w:lang w:val="ro-RO"/>
        </w:rPr>
        <w:t xml:space="preserve">, iar cele din mediul urban cu </w:t>
      </w:r>
      <w:r w:rsidRPr="00644D4E">
        <w:rPr>
          <w:rFonts w:ascii="Times New Roman" w:hAnsi="Times New Roman" w:cs="Times New Roman"/>
          <w:b/>
          <w:sz w:val="24"/>
          <w:szCs w:val="24"/>
          <w:lang w:val="ro-RO"/>
        </w:rPr>
        <w:t>3</w:t>
      </w:r>
      <w:r w:rsidR="00C167AA" w:rsidRPr="00644D4E">
        <w:rPr>
          <w:rFonts w:ascii="Times New Roman" w:hAnsi="Times New Roman" w:cs="Times New Roman"/>
          <w:b/>
          <w:sz w:val="24"/>
          <w:szCs w:val="24"/>
          <w:lang w:val="ro-RO"/>
        </w:rPr>
        <w:t>7</w:t>
      </w:r>
      <w:r w:rsidRPr="00644D4E">
        <w:rPr>
          <w:rFonts w:ascii="Times New Roman" w:hAnsi="Times New Roman" w:cs="Times New Roman"/>
          <w:b/>
          <w:sz w:val="24"/>
          <w:szCs w:val="24"/>
          <w:lang w:val="ro-RO"/>
        </w:rPr>
        <w:t>%</w:t>
      </w:r>
      <w:r w:rsidR="00270CD8" w:rsidRPr="00644D4E">
        <w:rPr>
          <w:rFonts w:ascii="Times New Roman" w:hAnsi="Times New Roman" w:cs="Times New Roman"/>
          <w:sz w:val="24"/>
          <w:szCs w:val="24"/>
          <w:lang w:val="ro-RO"/>
        </w:rPr>
        <w:t>.</w:t>
      </w:r>
      <w:r w:rsidRPr="00644D4E">
        <w:rPr>
          <w:rFonts w:ascii="Times New Roman" w:hAnsi="Times New Roman" w:cs="Times New Roman"/>
          <w:sz w:val="24"/>
          <w:szCs w:val="24"/>
          <w:lang w:val="ro-RO"/>
        </w:rPr>
        <w:t xml:space="preserve"> </w:t>
      </w:r>
      <w:r w:rsidR="00270CD8" w:rsidRPr="00644D4E">
        <w:rPr>
          <w:rFonts w:ascii="Times New Roman" w:hAnsi="Times New Roman" w:cs="Times New Roman"/>
          <w:sz w:val="24"/>
          <w:szCs w:val="24"/>
          <w:lang w:val="ro-RO"/>
        </w:rPr>
        <w:t xml:space="preserve">Comparativ cu anul precedent, a </w:t>
      </w:r>
      <w:r w:rsidR="00C167AA" w:rsidRPr="00644D4E">
        <w:rPr>
          <w:rFonts w:ascii="Times New Roman" w:hAnsi="Times New Roman" w:cs="Times New Roman"/>
          <w:sz w:val="24"/>
          <w:szCs w:val="24"/>
          <w:lang w:val="ro-RO"/>
        </w:rPr>
        <w:t>scăzut</w:t>
      </w:r>
      <w:r w:rsidR="00270CD8" w:rsidRPr="00644D4E">
        <w:rPr>
          <w:rFonts w:ascii="Times New Roman" w:hAnsi="Times New Roman" w:cs="Times New Roman"/>
          <w:sz w:val="24"/>
          <w:szCs w:val="24"/>
          <w:lang w:val="ro-RO"/>
        </w:rPr>
        <w:t xml:space="preserve"> ponderea persoanelor din mediul rural plasate în câmpul muncii cu </w:t>
      </w:r>
      <w:r w:rsidR="00C167AA" w:rsidRPr="00644D4E">
        <w:rPr>
          <w:rFonts w:ascii="Times New Roman" w:hAnsi="Times New Roman" w:cs="Times New Roman"/>
          <w:sz w:val="24"/>
          <w:szCs w:val="24"/>
          <w:lang w:val="ro-RO"/>
        </w:rPr>
        <w:t>2</w:t>
      </w:r>
      <w:r w:rsidR="00270CD8" w:rsidRPr="00644D4E">
        <w:rPr>
          <w:rFonts w:ascii="Times New Roman" w:hAnsi="Times New Roman" w:cs="Times New Roman"/>
          <w:sz w:val="24"/>
          <w:szCs w:val="24"/>
          <w:lang w:val="ro-RO"/>
        </w:rPr>
        <w:t xml:space="preserve"> </w:t>
      </w:r>
      <w:proofErr w:type="spellStart"/>
      <w:r w:rsidR="00270CD8" w:rsidRPr="00644D4E">
        <w:rPr>
          <w:rFonts w:ascii="Times New Roman" w:hAnsi="Times New Roman" w:cs="Times New Roman"/>
          <w:sz w:val="24"/>
          <w:szCs w:val="24"/>
          <w:lang w:val="ro-RO"/>
        </w:rPr>
        <w:t>p.p</w:t>
      </w:r>
      <w:r w:rsidRPr="00644D4E">
        <w:rPr>
          <w:rFonts w:ascii="Times New Roman" w:hAnsi="Times New Roman" w:cs="Times New Roman"/>
          <w:sz w:val="24"/>
          <w:szCs w:val="24"/>
          <w:lang w:val="ro-RO"/>
        </w:rPr>
        <w:t>.</w:t>
      </w:r>
      <w:proofErr w:type="spellEnd"/>
      <w:r w:rsidRPr="00644D4E">
        <w:rPr>
          <w:rStyle w:val="Heading3Char"/>
          <w:rFonts w:eastAsiaTheme="minorHAnsi"/>
          <w:color w:val="auto"/>
          <w:u w:val="none"/>
        </w:rPr>
        <w:t xml:space="preserve"> </w:t>
      </w:r>
      <w:r w:rsidR="00753C75" w:rsidRPr="00644D4E">
        <w:rPr>
          <w:rStyle w:val="Heading3Char"/>
          <w:rFonts w:eastAsiaTheme="minorHAnsi"/>
          <w:b w:val="0"/>
          <w:i w:val="0"/>
          <w:color w:val="auto"/>
          <w:u w:val="none"/>
        </w:rPr>
        <w:t>Se angajează mai ușor șomerii din mediul rural vizavi de cei din urban, deoarece cei din mediul rural acceptă locuri vacante mai puțin atractive, cei din mediul urban a</w:t>
      </w:r>
      <w:r w:rsidR="00C167AA" w:rsidRPr="00644D4E">
        <w:rPr>
          <w:rStyle w:val="Heading3Char"/>
          <w:rFonts w:eastAsiaTheme="minorHAnsi"/>
          <w:b w:val="0"/>
          <w:i w:val="0"/>
          <w:color w:val="auto"/>
          <w:u w:val="none"/>
        </w:rPr>
        <w:t>vând</w:t>
      </w:r>
      <w:r w:rsidR="00753C75" w:rsidRPr="00644D4E">
        <w:rPr>
          <w:rStyle w:val="Heading3Char"/>
          <w:rFonts w:eastAsiaTheme="minorHAnsi"/>
          <w:b w:val="0"/>
          <w:i w:val="0"/>
          <w:color w:val="auto"/>
          <w:u w:val="none"/>
        </w:rPr>
        <w:t xml:space="preserve"> cerințe mai mari.</w:t>
      </w:r>
    </w:p>
    <w:p w14:paraId="323BF9F5" w14:textId="77777777" w:rsidR="00EC09B7" w:rsidRPr="00644D4E" w:rsidRDefault="00C50972" w:rsidP="00C50972">
      <w:pPr>
        <w:spacing w:after="120" w:line="240" w:lineRule="auto"/>
        <w:ind w:left="284"/>
        <w:jc w:val="both"/>
        <w:rPr>
          <w:rFonts w:ascii="Times New Roman" w:hAnsi="Times New Roman" w:cs="Times New Roman"/>
          <w:sz w:val="24"/>
          <w:szCs w:val="24"/>
          <w:lang w:val="ro-RO"/>
        </w:rPr>
      </w:pPr>
      <w:bookmarkStart w:id="29" w:name="_Toc40868845"/>
      <w:bookmarkStart w:id="30" w:name="_Toc138064744"/>
      <w:r w:rsidRPr="00644D4E">
        <w:rPr>
          <w:rStyle w:val="Heading3Char"/>
          <w:rFonts w:eastAsiaTheme="minorHAnsi"/>
          <w:color w:val="auto"/>
        </w:rPr>
        <w:t>2.3.3. Locuri vacante</w:t>
      </w:r>
      <w:bookmarkEnd w:id="29"/>
      <w:bookmarkEnd w:id="30"/>
      <w:r w:rsidRPr="00644D4E">
        <w:rPr>
          <w:rFonts w:ascii="Times New Roman" w:hAnsi="Times New Roman" w:cs="Times New Roman"/>
          <w:i/>
          <w:sz w:val="24"/>
          <w:szCs w:val="24"/>
          <w:u w:val="single"/>
          <w:lang w:val="ro-RO"/>
        </w:rPr>
        <w:t>.</w:t>
      </w:r>
    </w:p>
    <w:p w14:paraId="7E2512D6" w14:textId="21ED9363" w:rsidR="00C50972" w:rsidRPr="00644D4E" w:rsidRDefault="00C50972" w:rsidP="00C50972">
      <w:pPr>
        <w:spacing w:after="120" w:line="240" w:lineRule="auto"/>
        <w:ind w:left="284"/>
        <w:jc w:val="both"/>
        <w:rPr>
          <w:rFonts w:ascii="Times New Roman" w:hAnsi="Times New Roman" w:cs="Times New Roman"/>
          <w:sz w:val="24"/>
          <w:szCs w:val="24"/>
          <w:lang w:val="ro-RO"/>
        </w:rPr>
      </w:pPr>
      <w:r w:rsidRPr="00644D4E">
        <w:rPr>
          <w:rFonts w:ascii="Times New Roman" w:hAnsi="Times New Roman" w:cs="Times New Roman"/>
          <w:sz w:val="24"/>
          <w:szCs w:val="24"/>
          <w:lang w:val="ro-RO"/>
        </w:rPr>
        <w:t>În anul 202</w:t>
      </w:r>
      <w:r w:rsidR="006C4C69" w:rsidRPr="00644D4E">
        <w:rPr>
          <w:rFonts w:ascii="Times New Roman" w:hAnsi="Times New Roman" w:cs="Times New Roman"/>
          <w:sz w:val="24"/>
          <w:szCs w:val="24"/>
          <w:lang w:val="ro-RO"/>
        </w:rPr>
        <w:t>3</w:t>
      </w:r>
      <w:r w:rsidRPr="00644D4E">
        <w:rPr>
          <w:rFonts w:ascii="Times New Roman" w:hAnsi="Times New Roman" w:cs="Times New Roman"/>
          <w:sz w:val="24"/>
          <w:szCs w:val="24"/>
          <w:lang w:val="ro-RO"/>
        </w:rPr>
        <w:t xml:space="preserve"> în baza de date a ANOFM au fost înregistrate </w:t>
      </w:r>
      <w:r w:rsidR="00270CD8" w:rsidRPr="00644D4E">
        <w:rPr>
          <w:rFonts w:ascii="Times New Roman" w:hAnsi="Times New Roman" w:cs="Times New Roman"/>
          <w:b/>
          <w:sz w:val="24"/>
          <w:szCs w:val="24"/>
          <w:lang w:val="ro-RO"/>
        </w:rPr>
        <w:t>32,</w:t>
      </w:r>
      <w:r w:rsidR="006C4C69" w:rsidRPr="00644D4E">
        <w:rPr>
          <w:rFonts w:ascii="Times New Roman" w:hAnsi="Times New Roman" w:cs="Times New Roman"/>
          <w:b/>
          <w:sz w:val="24"/>
          <w:szCs w:val="24"/>
          <w:lang w:val="ro-RO"/>
        </w:rPr>
        <w:t>2</w:t>
      </w:r>
      <w:r w:rsidRPr="00644D4E">
        <w:rPr>
          <w:rFonts w:ascii="Times New Roman" w:hAnsi="Times New Roman" w:cs="Times New Roman"/>
          <w:sz w:val="24"/>
          <w:szCs w:val="24"/>
          <w:lang w:val="ro-RO"/>
        </w:rPr>
        <w:t xml:space="preserve"> mii locuri vacante de la cca </w:t>
      </w:r>
      <w:r w:rsidR="00270CD8" w:rsidRPr="00644D4E">
        <w:rPr>
          <w:rFonts w:ascii="Times New Roman" w:hAnsi="Times New Roman" w:cs="Times New Roman"/>
          <w:b/>
          <w:sz w:val="24"/>
          <w:szCs w:val="24"/>
          <w:lang w:val="ro-RO"/>
        </w:rPr>
        <w:t>3,</w:t>
      </w:r>
      <w:r w:rsidR="004E1939" w:rsidRPr="00644D4E">
        <w:rPr>
          <w:rFonts w:ascii="Times New Roman" w:hAnsi="Times New Roman" w:cs="Times New Roman"/>
          <w:b/>
          <w:sz w:val="24"/>
          <w:szCs w:val="24"/>
          <w:lang w:val="ro-RO"/>
        </w:rPr>
        <w:t>6</w:t>
      </w:r>
      <w:r w:rsidRPr="00644D4E">
        <w:rPr>
          <w:rFonts w:ascii="Times New Roman" w:hAnsi="Times New Roman" w:cs="Times New Roman"/>
          <w:b/>
          <w:sz w:val="24"/>
          <w:szCs w:val="24"/>
          <w:lang w:val="ro-RO"/>
        </w:rPr>
        <w:t xml:space="preserve"> mii</w:t>
      </w:r>
      <w:r w:rsidRPr="00644D4E">
        <w:rPr>
          <w:rFonts w:ascii="Times New Roman" w:hAnsi="Times New Roman" w:cs="Times New Roman"/>
          <w:sz w:val="24"/>
          <w:szCs w:val="24"/>
          <w:lang w:val="ro-RO"/>
        </w:rPr>
        <w:t xml:space="preserve"> de angajatori. Comparativ cu anul precedent</w:t>
      </w:r>
      <w:r w:rsidR="006C4C69" w:rsidRPr="00644D4E">
        <w:rPr>
          <w:rFonts w:ascii="Times New Roman" w:hAnsi="Times New Roman" w:cs="Times New Roman"/>
          <w:sz w:val="24"/>
          <w:szCs w:val="24"/>
          <w:lang w:val="ro-RO"/>
        </w:rPr>
        <w:t xml:space="preserve"> (Figura 2.3.3.1)</w:t>
      </w:r>
      <w:r w:rsidRPr="00644D4E">
        <w:rPr>
          <w:rFonts w:ascii="Times New Roman" w:hAnsi="Times New Roman" w:cs="Times New Roman"/>
          <w:sz w:val="24"/>
          <w:szCs w:val="24"/>
          <w:lang w:val="ro-RO"/>
        </w:rPr>
        <w:t xml:space="preserve">, numărul de locuri vacante </w:t>
      </w:r>
      <w:r w:rsidR="006C4C69" w:rsidRPr="00644D4E">
        <w:rPr>
          <w:rFonts w:ascii="Times New Roman" w:hAnsi="Times New Roman" w:cs="Times New Roman"/>
          <w:sz w:val="24"/>
          <w:szCs w:val="24"/>
          <w:lang w:val="ro-RO"/>
        </w:rPr>
        <w:t xml:space="preserve">n-a suferit </w:t>
      </w:r>
      <w:proofErr w:type="spellStart"/>
      <w:r w:rsidR="006C4C69" w:rsidRPr="00644D4E">
        <w:rPr>
          <w:rFonts w:ascii="Times New Roman" w:hAnsi="Times New Roman" w:cs="Times New Roman"/>
          <w:sz w:val="24"/>
          <w:szCs w:val="24"/>
          <w:lang w:val="ro-RO"/>
        </w:rPr>
        <w:t>schimbari</w:t>
      </w:r>
      <w:proofErr w:type="spellEnd"/>
      <w:r w:rsidR="006C4C69" w:rsidRPr="00644D4E">
        <w:rPr>
          <w:rFonts w:ascii="Times New Roman" w:hAnsi="Times New Roman" w:cs="Times New Roman"/>
          <w:sz w:val="24"/>
          <w:szCs w:val="24"/>
          <w:lang w:val="ro-RO"/>
        </w:rPr>
        <w:t xml:space="preserve"> semnificative.</w:t>
      </w:r>
      <w:r w:rsidRPr="00644D4E">
        <w:rPr>
          <w:rFonts w:ascii="Times New Roman" w:hAnsi="Times New Roman" w:cs="Times New Roman"/>
          <w:sz w:val="24"/>
          <w:szCs w:val="24"/>
          <w:lang w:val="ro-RO"/>
        </w:rPr>
        <w:t xml:space="preserve"> </w:t>
      </w:r>
    </w:p>
    <w:p w14:paraId="6F509845" w14:textId="77777777" w:rsidR="00C50972" w:rsidRPr="00644D4E" w:rsidRDefault="00C50972" w:rsidP="00CC2AF0">
      <w:pPr>
        <w:spacing w:after="60" w:line="240" w:lineRule="auto"/>
        <w:ind w:left="284"/>
        <w:jc w:val="center"/>
        <w:rPr>
          <w:rFonts w:ascii="Times New Roman" w:hAnsi="Times New Roman" w:cs="Times New Roman"/>
          <w:b/>
          <w:i/>
          <w:lang w:val="ro-RO"/>
        </w:rPr>
      </w:pPr>
      <w:r w:rsidRPr="00644D4E">
        <w:rPr>
          <w:rFonts w:ascii="Times New Roman" w:hAnsi="Times New Roman" w:cs="Times New Roman"/>
          <w:b/>
          <w:i/>
          <w:lang w:val="ro-RO"/>
        </w:rPr>
        <w:t>Fig. 2.3.3.1. Șomeri înregistrați, plasați și locuri vacante înregistrate</w:t>
      </w:r>
    </w:p>
    <w:p w14:paraId="01EE8B14" w14:textId="77777777" w:rsidR="00C50972" w:rsidRPr="00644D4E" w:rsidRDefault="006C4C69" w:rsidP="00C50972">
      <w:pPr>
        <w:spacing w:after="0"/>
        <w:ind w:left="284"/>
        <w:jc w:val="center"/>
        <w:rPr>
          <w:rFonts w:ascii="Times New Roman" w:hAnsi="Times New Roman" w:cs="Times New Roman"/>
          <w:sz w:val="24"/>
          <w:szCs w:val="24"/>
          <w:lang w:val="ro-RO"/>
        </w:rPr>
      </w:pPr>
      <w:r w:rsidRPr="00644D4E">
        <w:rPr>
          <w:rFonts w:ascii="Times New Roman" w:hAnsi="Times New Roman" w:cs="Times New Roman"/>
          <w:sz w:val="24"/>
          <w:szCs w:val="24"/>
          <w:lang w:val="ro-RO"/>
        </w:rPr>
        <w:t>.</w:t>
      </w:r>
      <w:r w:rsidR="00C50972" w:rsidRPr="00644D4E">
        <w:rPr>
          <w:rFonts w:ascii="Times New Roman" w:hAnsi="Times New Roman" w:cs="Times New Roman"/>
          <w:sz w:val="24"/>
          <w:szCs w:val="24"/>
          <w:lang w:val="ro-RO"/>
        </w:rPr>
        <w:drawing>
          <wp:inline distT="0" distB="0" distL="0" distR="0" wp14:anchorId="1F644F61" wp14:editId="6645F807">
            <wp:extent cx="4102753" cy="1326524"/>
            <wp:effectExtent l="0" t="0" r="12065" b="6985"/>
            <wp:docPr id="34"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75A230E" w14:textId="77777777" w:rsidR="00C50972" w:rsidRPr="00644D4E" w:rsidRDefault="00C50972" w:rsidP="00C50972">
      <w:pPr>
        <w:spacing w:after="120" w:line="276" w:lineRule="auto"/>
        <w:ind w:left="1276" w:hanging="142"/>
        <w:jc w:val="both"/>
        <w:rPr>
          <w:rFonts w:ascii="Times New Roman" w:hAnsi="Times New Roman" w:cs="Times New Roman"/>
          <w:sz w:val="24"/>
          <w:szCs w:val="24"/>
          <w:lang w:val="ro-RO"/>
        </w:rPr>
      </w:pPr>
      <w:r w:rsidRPr="00644D4E">
        <w:rPr>
          <w:rFonts w:ascii="Times New Roman" w:hAnsi="Times New Roman" w:cs="Times New Roman"/>
          <w:sz w:val="16"/>
          <w:szCs w:val="16"/>
          <w:lang w:val="ro-RO"/>
        </w:rPr>
        <w:t xml:space="preserve"> </w:t>
      </w:r>
      <w:r w:rsidR="00503BC4" w:rsidRPr="00644D4E">
        <w:rPr>
          <w:rFonts w:ascii="Times New Roman" w:hAnsi="Times New Roman" w:cs="Times New Roman"/>
          <w:sz w:val="16"/>
          <w:szCs w:val="16"/>
          <w:lang w:val="ro-RO"/>
        </w:rPr>
        <w:t xml:space="preserve">      </w:t>
      </w:r>
      <w:r w:rsidR="007A7FCE" w:rsidRPr="00644D4E">
        <w:rPr>
          <w:rFonts w:ascii="Times New Roman" w:hAnsi="Times New Roman" w:cs="Times New Roman"/>
          <w:sz w:val="16"/>
          <w:szCs w:val="16"/>
          <w:lang w:val="ro-RO"/>
        </w:rPr>
        <w:t xml:space="preserve">  </w:t>
      </w:r>
      <w:r w:rsidR="00503BC4" w:rsidRPr="00644D4E">
        <w:rPr>
          <w:rFonts w:ascii="Times New Roman" w:hAnsi="Times New Roman" w:cs="Times New Roman"/>
          <w:sz w:val="16"/>
          <w:szCs w:val="16"/>
          <w:lang w:val="ro-RO"/>
        </w:rPr>
        <w:t xml:space="preserve"> </w:t>
      </w:r>
      <w:r w:rsidR="00FC36D8" w:rsidRPr="00644D4E">
        <w:rPr>
          <w:rFonts w:ascii="Times New Roman" w:hAnsi="Times New Roman" w:cs="Times New Roman"/>
          <w:sz w:val="16"/>
          <w:szCs w:val="16"/>
          <w:lang w:val="ro-RO"/>
        </w:rPr>
        <w:t xml:space="preserve">    </w:t>
      </w:r>
      <w:r w:rsidR="004C6FFA" w:rsidRPr="00644D4E">
        <w:rPr>
          <w:rFonts w:ascii="Times New Roman" w:hAnsi="Times New Roman" w:cs="Times New Roman"/>
          <w:sz w:val="16"/>
          <w:szCs w:val="16"/>
          <w:lang w:val="ro-RO"/>
        </w:rPr>
        <w:t xml:space="preserve"> </w:t>
      </w:r>
      <w:r w:rsidRPr="00644D4E">
        <w:rPr>
          <w:rFonts w:ascii="Times New Roman" w:hAnsi="Times New Roman" w:cs="Times New Roman"/>
          <w:sz w:val="16"/>
          <w:szCs w:val="16"/>
          <w:lang w:val="ro-RO"/>
        </w:rPr>
        <w:t>Sursa: Baza de date ANOFM</w:t>
      </w:r>
    </w:p>
    <w:p w14:paraId="17FFB10C" w14:textId="79A6638E" w:rsidR="00C50972" w:rsidRPr="00644D4E" w:rsidRDefault="004C10FB" w:rsidP="00EC09B7">
      <w:pPr>
        <w:spacing w:after="120" w:line="240" w:lineRule="auto"/>
        <w:ind w:left="284"/>
        <w:jc w:val="both"/>
        <w:rPr>
          <w:rFonts w:ascii="Times New Roman" w:hAnsi="Times New Roman" w:cs="Times New Roman"/>
          <w:sz w:val="24"/>
          <w:szCs w:val="24"/>
          <w:lang w:val="ro-RO"/>
        </w:rPr>
      </w:pPr>
      <w:r w:rsidRPr="00644D4E">
        <w:rPr>
          <w:rFonts w:ascii="Times New Roman" w:hAnsi="Times New Roman" w:cs="Times New Roman"/>
          <w:sz w:val="24"/>
          <w:szCs w:val="24"/>
          <w:lang w:val="ro-RO"/>
        </w:rPr>
        <w:t>În dinamică (</w:t>
      </w:r>
      <w:r w:rsidR="00C50972" w:rsidRPr="00644D4E">
        <w:rPr>
          <w:rFonts w:ascii="Times New Roman" w:hAnsi="Times New Roman" w:cs="Times New Roman"/>
          <w:sz w:val="24"/>
          <w:szCs w:val="24"/>
          <w:lang w:val="ro-RO"/>
        </w:rPr>
        <w:t>Figura 2.3.3.1</w:t>
      </w:r>
      <w:r w:rsidRPr="00644D4E">
        <w:rPr>
          <w:rFonts w:ascii="Times New Roman" w:hAnsi="Times New Roman" w:cs="Times New Roman"/>
          <w:sz w:val="24"/>
          <w:szCs w:val="24"/>
          <w:lang w:val="ro-RO"/>
        </w:rPr>
        <w:t>)</w:t>
      </w:r>
      <w:r w:rsidR="00C50972" w:rsidRPr="00644D4E">
        <w:rPr>
          <w:rFonts w:ascii="Times New Roman" w:hAnsi="Times New Roman" w:cs="Times New Roman"/>
          <w:sz w:val="24"/>
          <w:szCs w:val="24"/>
          <w:lang w:val="ro-RO"/>
        </w:rPr>
        <w:t xml:space="preserve"> se observă o scădere a numărului de șomeri înregistrați, </w:t>
      </w:r>
      <w:r w:rsidR="0012483E" w:rsidRPr="00644D4E">
        <w:rPr>
          <w:rFonts w:ascii="Times New Roman" w:hAnsi="Times New Roman" w:cs="Times New Roman"/>
          <w:sz w:val="24"/>
          <w:szCs w:val="24"/>
          <w:lang w:val="ro-RO"/>
        </w:rPr>
        <w:t xml:space="preserve">iar numărul șomerilor plasați în câmpul muncii în </w:t>
      </w:r>
      <w:r w:rsidR="00597D61" w:rsidRPr="00644D4E">
        <w:rPr>
          <w:rFonts w:ascii="Times New Roman" w:hAnsi="Times New Roman" w:cs="Times New Roman"/>
          <w:sz w:val="24"/>
          <w:szCs w:val="24"/>
          <w:lang w:val="ro-RO"/>
        </w:rPr>
        <w:t>creștere</w:t>
      </w:r>
      <w:r w:rsidR="0012483E" w:rsidRPr="00644D4E">
        <w:rPr>
          <w:rFonts w:ascii="Times New Roman" w:hAnsi="Times New Roman" w:cs="Times New Roman"/>
          <w:sz w:val="24"/>
          <w:szCs w:val="24"/>
          <w:lang w:val="ro-RO"/>
        </w:rPr>
        <w:t xml:space="preserve"> cu </w:t>
      </w:r>
      <w:r w:rsidR="00597D61" w:rsidRPr="00644D4E">
        <w:rPr>
          <w:rFonts w:ascii="Times New Roman" w:hAnsi="Times New Roman" w:cs="Times New Roman"/>
          <w:sz w:val="24"/>
          <w:szCs w:val="24"/>
          <w:lang w:val="ro-RO"/>
        </w:rPr>
        <w:t>8</w:t>
      </w:r>
      <w:r w:rsidR="0012483E" w:rsidRPr="00644D4E">
        <w:rPr>
          <w:rFonts w:ascii="Times New Roman" w:hAnsi="Times New Roman" w:cs="Times New Roman"/>
          <w:sz w:val="24"/>
          <w:szCs w:val="24"/>
          <w:lang w:val="ro-RO"/>
        </w:rPr>
        <w:t>%</w:t>
      </w:r>
      <w:r w:rsidR="00C50972" w:rsidRPr="00644D4E">
        <w:rPr>
          <w:rFonts w:ascii="Times New Roman" w:hAnsi="Times New Roman" w:cs="Times New Roman"/>
          <w:sz w:val="24"/>
          <w:szCs w:val="24"/>
          <w:lang w:val="ro-RO"/>
        </w:rPr>
        <w:t xml:space="preserve">. </w:t>
      </w:r>
    </w:p>
    <w:p w14:paraId="4737E57D" w14:textId="091420E4" w:rsidR="007A7FCE" w:rsidRPr="00644D4E" w:rsidRDefault="00B65E06" w:rsidP="00EC09B7">
      <w:pPr>
        <w:spacing w:after="120" w:line="240" w:lineRule="auto"/>
        <w:ind w:left="284"/>
        <w:jc w:val="both"/>
        <w:rPr>
          <w:rFonts w:ascii="Times New Roman" w:hAnsi="Times New Roman" w:cs="Times New Roman"/>
          <w:sz w:val="24"/>
          <w:szCs w:val="24"/>
          <w:lang w:val="ro-RO"/>
        </w:rPr>
      </w:pPr>
      <w:r w:rsidRPr="00644D4E">
        <w:rPr>
          <w:rFonts w:ascii="Times New Roman" w:hAnsi="Times New Roman" w:cs="Times New Roman"/>
          <w:sz w:val="24"/>
          <w:szCs w:val="24"/>
          <w:lang w:val="ro-RO"/>
        </w:rPr>
        <w:t>D</w:t>
      </w:r>
      <w:r w:rsidR="004C10FB" w:rsidRPr="00644D4E">
        <w:rPr>
          <w:rFonts w:ascii="Times New Roman" w:hAnsi="Times New Roman" w:cs="Times New Roman"/>
          <w:sz w:val="24"/>
          <w:szCs w:val="24"/>
          <w:lang w:val="ro-RO"/>
        </w:rPr>
        <w:t>upă activități economice (</w:t>
      </w:r>
      <w:r w:rsidRPr="00644D4E">
        <w:rPr>
          <w:rFonts w:ascii="Times New Roman" w:hAnsi="Times New Roman" w:cs="Times New Roman"/>
          <w:sz w:val="24"/>
          <w:szCs w:val="24"/>
          <w:lang w:val="ro-RO"/>
        </w:rPr>
        <w:t>Figura 2.3.3.2</w:t>
      </w:r>
      <w:r w:rsidR="004C10FB" w:rsidRPr="00644D4E">
        <w:rPr>
          <w:rFonts w:ascii="Times New Roman" w:hAnsi="Times New Roman" w:cs="Times New Roman"/>
          <w:sz w:val="24"/>
          <w:szCs w:val="24"/>
          <w:lang w:val="ro-RO"/>
        </w:rPr>
        <w:t xml:space="preserve">), </w:t>
      </w:r>
      <w:r w:rsidR="00C50972" w:rsidRPr="00644D4E">
        <w:rPr>
          <w:rFonts w:ascii="Times New Roman" w:hAnsi="Times New Roman" w:cs="Times New Roman"/>
          <w:sz w:val="24"/>
          <w:szCs w:val="24"/>
          <w:lang w:val="ro-RO"/>
        </w:rPr>
        <w:t xml:space="preserve">cele mai multe locuri sunt din </w:t>
      </w:r>
      <w:r w:rsidRPr="00644D4E">
        <w:rPr>
          <w:rFonts w:ascii="Times New Roman" w:hAnsi="Times New Roman" w:cs="Times New Roman"/>
          <w:i/>
          <w:sz w:val="24"/>
          <w:szCs w:val="24"/>
          <w:lang w:val="ro-RO"/>
        </w:rPr>
        <w:t>Alte activități de servicii</w:t>
      </w:r>
      <w:r w:rsidRPr="00644D4E">
        <w:rPr>
          <w:rFonts w:ascii="Times New Roman" w:hAnsi="Times New Roman" w:cs="Times New Roman"/>
          <w:sz w:val="24"/>
          <w:szCs w:val="24"/>
          <w:lang w:val="ro-RO"/>
        </w:rPr>
        <w:t xml:space="preserve"> (</w:t>
      </w:r>
      <w:r w:rsidR="00282404" w:rsidRPr="00644D4E">
        <w:rPr>
          <w:rFonts w:ascii="Times New Roman" w:hAnsi="Times New Roman" w:cs="Times New Roman"/>
          <w:sz w:val="24"/>
          <w:szCs w:val="24"/>
          <w:lang w:val="ro-RO"/>
        </w:rPr>
        <w:t>35</w:t>
      </w:r>
      <w:r w:rsidRPr="00644D4E">
        <w:rPr>
          <w:rFonts w:ascii="Times New Roman" w:hAnsi="Times New Roman" w:cs="Times New Roman"/>
          <w:sz w:val="24"/>
          <w:szCs w:val="24"/>
          <w:lang w:val="ro-RO"/>
        </w:rPr>
        <w:t xml:space="preserve">%), </w:t>
      </w:r>
      <w:r w:rsidR="00C50972" w:rsidRPr="00644D4E">
        <w:rPr>
          <w:rFonts w:ascii="Times New Roman" w:hAnsi="Times New Roman" w:cs="Times New Roman"/>
          <w:i/>
          <w:sz w:val="24"/>
          <w:szCs w:val="24"/>
          <w:lang w:val="ro-RO"/>
        </w:rPr>
        <w:t>Industri</w:t>
      </w:r>
      <w:r w:rsidR="00282404" w:rsidRPr="00644D4E">
        <w:rPr>
          <w:rFonts w:ascii="Times New Roman" w:hAnsi="Times New Roman" w:cs="Times New Roman"/>
          <w:i/>
          <w:sz w:val="24"/>
          <w:szCs w:val="24"/>
          <w:lang w:val="ro-RO"/>
        </w:rPr>
        <w:t>e</w:t>
      </w:r>
      <w:r w:rsidR="00C50972" w:rsidRPr="00644D4E">
        <w:rPr>
          <w:rFonts w:ascii="Times New Roman" w:hAnsi="Times New Roman" w:cs="Times New Roman"/>
          <w:i/>
          <w:sz w:val="24"/>
          <w:szCs w:val="24"/>
          <w:lang w:val="ro-RO"/>
        </w:rPr>
        <w:t xml:space="preserve"> </w:t>
      </w:r>
      <w:r w:rsidR="00C50972" w:rsidRPr="00644D4E">
        <w:rPr>
          <w:rFonts w:ascii="Times New Roman" w:hAnsi="Times New Roman" w:cs="Times New Roman"/>
          <w:sz w:val="24"/>
          <w:szCs w:val="24"/>
          <w:lang w:val="ro-RO"/>
        </w:rPr>
        <w:t>(</w:t>
      </w:r>
      <w:r w:rsidR="00282404" w:rsidRPr="00644D4E">
        <w:rPr>
          <w:rFonts w:ascii="Times New Roman" w:hAnsi="Times New Roman" w:cs="Times New Roman"/>
          <w:sz w:val="24"/>
          <w:szCs w:val="24"/>
          <w:lang w:val="ro-RO"/>
        </w:rPr>
        <w:t>13</w:t>
      </w:r>
      <w:r w:rsidR="00C50972" w:rsidRPr="00644D4E">
        <w:rPr>
          <w:rFonts w:ascii="Times New Roman" w:hAnsi="Times New Roman" w:cs="Times New Roman"/>
          <w:sz w:val="24"/>
          <w:szCs w:val="24"/>
          <w:lang w:val="ro-RO"/>
        </w:rPr>
        <w:t xml:space="preserve">%), urmate de </w:t>
      </w:r>
      <w:r w:rsidR="00C50972" w:rsidRPr="00644D4E">
        <w:rPr>
          <w:rFonts w:ascii="Times New Roman" w:hAnsi="Times New Roman" w:cs="Times New Roman"/>
          <w:i/>
          <w:sz w:val="24"/>
          <w:szCs w:val="24"/>
          <w:lang w:val="ro-RO"/>
        </w:rPr>
        <w:t>Comerț cu ridicata și amănuntul; întreținerea și repararea autovehiculelor și motocicletelor</w:t>
      </w:r>
      <w:r w:rsidR="00C50972" w:rsidRPr="00644D4E">
        <w:rPr>
          <w:rFonts w:ascii="Times New Roman" w:hAnsi="Times New Roman" w:cs="Times New Roman"/>
          <w:sz w:val="24"/>
          <w:szCs w:val="24"/>
          <w:lang w:val="ro-RO"/>
        </w:rPr>
        <w:t xml:space="preserve"> </w:t>
      </w:r>
      <w:r w:rsidR="00282404" w:rsidRPr="00644D4E">
        <w:rPr>
          <w:rFonts w:ascii="Times New Roman" w:hAnsi="Times New Roman" w:cs="Times New Roman"/>
          <w:sz w:val="24"/>
          <w:szCs w:val="24"/>
          <w:lang w:val="ro-RO"/>
        </w:rPr>
        <w:t>și</w:t>
      </w:r>
      <w:r w:rsidR="00C50972" w:rsidRPr="00644D4E">
        <w:rPr>
          <w:rFonts w:ascii="Times New Roman" w:hAnsi="Times New Roman" w:cs="Times New Roman"/>
          <w:sz w:val="24"/>
          <w:szCs w:val="24"/>
          <w:lang w:val="ro-RO"/>
        </w:rPr>
        <w:t xml:space="preserve"> </w:t>
      </w:r>
      <w:r w:rsidR="00C50972" w:rsidRPr="00644D4E">
        <w:rPr>
          <w:rFonts w:ascii="Times New Roman" w:hAnsi="Times New Roman" w:cs="Times New Roman"/>
          <w:i/>
          <w:sz w:val="24"/>
          <w:szCs w:val="24"/>
          <w:lang w:val="ro-RO"/>
        </w:rPr>
        <w:t>Agricultură, silvicultură și pescuit</w:t>
      </w:r>
      <w:r w:rsidR="00C50972" w:rsidRPr="00644D4E">
        <w:rPr>
          <w:rFonts w:ascii="Times New Roman" w:hAnsi="Times New Roman" w:cs="Times New Roman"/>
          <w:sz w:val="24"/>
          <w:szCs w:val="24"/>
          <w:lang w:val="ro-RO"/>
        </w:rPr>
        <w:t xml:space="preserve"> </w:t>
      </w:r>
      <w:r w:rsidR="00282404" w:rsidRPr="00644D4E">
        <w:rPr>
          <w:rFonts w:ascii="Times New Roman" w:hAnsi="Times New Roman" w:cs="Times New Roman"/>
          <w:sz w:val="24"/>
          <w:szCs w:val="24"/>
          <w:lang w:val="ro-RO"/>
        </w:rPr>
        <w:t>cu câte 11</w:t>
      </w:r>
      <w:r w:rsidR="00C50972" w:rsidRPr="00644D4E">
        <w:rPr>
          <w:rFonts w:ascii="Times New Roman" w:hAnsi="Times New Roman" w:cs="Times New Roman"/>
          <w:sz w:val="24"/>
          <w:szCs w:val="24"/>
          <w:lang w:val="ro-RO"/>
        </w:rPr>
        <w:t>%, etc</w:t>
      </w:r>
      <w:r w:rsidRPr="00644D4E">
        <w:rPr>
          <w:rFonts w:ascii="Times New Roman" w:hAnsi="Times New Roman" w:cs="Times New Roman"/>
          <w:sz w:val="24"/>
          <w:szCs w:val="24"/>
          <w:lang w:val="ro-RO"/>
        </w:rPr>
        <w:t>.</w:t>
      </w:r>
      <w:r w:rsidR="00C50972" w:rsidRPr="00644D4E">
        <w:rPr>
          <w:rFonts w:ascii="Times New Roman" w:hAnsi="Times New Roman" w:cs="Times New Roman"/>
          <w:sz w:val="24"/>
          <w:szCs w:val="24"/>
          <w:lang w:val="ro-RO"/>
        </w:rPr>
        <w:t xml:space="preserve"> </w:t>
      </w:r>
    </w:p>
    <w:p w14:paraId="466BB4DE" w14:textId="77777777" w:rsidR="00B65E06" w:rsidRPr="00644D4E" w:rsidRDefault="00B65E06" w:rsidP="007A7FCE">
      <w:pPr>
        <w:spacing w:after="0" w:line="240" w:lineRule="auto"/>
        <w:ind w:left="284"/>
        <w:jc w:val="both"/>
        <w:rPr>
          <w:rFonts w:ascii="Times New Roman" w:hAnsi="Times New Roman" w:cs="Times New Roman"/>
          <w:sz w:val="24"/>
          <w:szCs w:val="24"/>
          <w:lang w:val="ro-RO"/>
        </w:rPr>
      </w:pPr>
    </w:p>
    <w:p w14:paraId="2D0674ED" w14:textId="77777777" w:rsidR="00C50972" w:rsidRPr="00644D4E" w:rsidRDefault="00C50972" w:rsidP="004C6FFA">
      <w:pPr>
        <w:spacing w:after="60" w:line="240" w:lineRule="auto"/>
        <w:ind w:left="284"/>
        <w:jc w:val="center"/>
        <w:rPr>
          <w:rFonts w:ascii="Times New Roman" w:hAnsi="Times New Roman" w:cs="Times New Roman"/>
          <w:b/>
          <w:i/>
          <w:lang w:val="ro-RO"/>
        </w:rPr>
      </w:pPr>
      <w:r w:rsidRPr="00644D4E">
        <w:rPr>
          <w:rFonts w:ascii="Times New Roman" w:hAnsi="Times New Roman" w:cs="Times New Roman"/>
          <w:b/>
          <w:i/>
          <w:lang w:val="ro-RO"/>
        </w:rPr>
        <w:t xml:space="preserve">Fig. 2.3.3.2. Locuri vacante </w:t>
      </w:r>
      <w:r w:rsidR="00597D61" w:rsidRPr="00644D4E">
        <w:rPr>
          <w:rFonts w:ascii="Times New Roman" w:hAnsi="Times New Roman" w:cs="Times New Roman"/>
          <w:b/>
          <w:i/>
          <w:lang w:val="ro-RO"/>
        </w:rPr>
        <w:t xml:space="preserve">înregistrate </w:t>
      </w:r>
      <w:r w:rsidRPr="00644D4E">
        <w:rPr>
          <w:rFonts w:ascii="Times New Roman" w:hAnsi="Times New Roman" w:cs="Times New Roman"/>
          <w:b/>
          <w:i/>
          <w:lang w:val="ro-RO"/>
        </w:rPr>
        <w:t>pe activități economice,%</w:t>
      </w:r>
    </w:p>
    <w:p w14:paraId="6BC07E7D" w14:textId="77777777" w:rsidR="007A7FCE" w:rsidRPr="00644D4E" w:rsidRDefault="007A7FCE" w:rsidP="004C6FFA">
      <w:pPr>
        <w:spacing w:after="60" w:line="240" w:lineRule="auto"/>
        <w:ind w:left="284"/>
        <w:jc w:val="center"/>
        <w:rPr>
          <w:rFonts w:ascii="Times New Roman" w:hAnsi="Times New Roman" w:cs="Times New Roman"/>
          <w:sz w:val="24"/>
          <w:szCs w:val="24"/>
          <w:lang w:val="ro-RO"/>
        </w:rPr>
      </w:pPr>
      <w:r w:rsidRPr="00644D4E">
        <w:rPr>
          <w:rFonts w:ascii="Times New Roman" w:hAnsi="Times New Roman" w:cs="Times New Roman"/>
          <w:sz w:val="24"/>
          <w:szCs w:val="24"/>
          <w:lang w:val="ro-RO"/>
        </w:rPr>
        <w:drawing>
          <wp:inline distT="0" distB="0" distL="0" distR="0" wp14:anchorId="254922CD" wp14:editId="01C8C86D">
            <wp:extent cx="5284532" cy="1976755"/>
            <wp:effectExtent l="0" t="0" r="11430" b="4445"/>
            <wp:docPr id="31"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52C16BCF" w14:textId="77777777" w:rsidR="00C50972" w:rsidRPr="00644D4E" w:rsidRDefault="007A7FCE" w:rsidP="00C50972">
      <w:pPr>
        <w:spacing w:after="0" w:line="240" w:lineRule="auto"/>
        <w:jc w:val="both"/>
        <w:rPr>
          <w:rFonts w:ascii="Times New Roman" w:hAnsi="Times New Roman" w:cs="Times New Roman"/>
          <w:sz w:val="16"/>
          <w:szCs w:val="16"/>
          <w:lang w:val="ro-RO"/>
        </w:rPr>
      </w:pPr>
      <w:r w:rsidRPr="00644D4E">
        <w:rPr>
          <w:rFonts w:ascii="Times New Roman" w:hAnsi="Times New Roman" w:cs="Times New Roman"/>
          <w:sz w:val="16"/>
          <w:szCs w:val="16"/>
          <w:lang w:val="ro-RO"/>
        </w:rPr>
        <w:t xml:space="preserve">                </w:t>
      </w:r>
      <w:r w:rsidR="00C50972" w:rsidRPr="00644D4E">
        <w:rPr>
          <w:rFonts w:ascii="Times New Roman" w:hAnsi="Times New Roman" w:cs="Times New Roman"/>
          <w:sz w:val="16"/>
          <w:szCs w:val="16"/>
          <w:lang w:val="ro-RO"/>
        </w:rPr>
        <w:t xml:space="preserve">   </w:t>
      </w:r>
      <w:r w:rsidR="00707AC8" w:rsidRPr="00644D4E">
        <w:rPr>
          <w:rFonts w:ascii="Times New Roman" w:hAnsi="Times New Roman" w:cs="Times New Roman"/>
          <w:sz w:val="16"/>
          <w:szCs w:val="16"/>
          <w:lang w:val="ro-RO"/>
        </w:rPr>
        <w:t xml:space="preserve"> </w:t>
      </w:r>
      <w:r w:rsidR="00C50972" w:rsidRPr="00644D4E">
        <w:rPr>
          <w:rFonts w:ascii="Times New Roman" w:hAnsi="Times New Roman" w:cs="Times New Roman"/>
          <w:sz w:val="16"/>
          <w:szCs w:val="16"/>
          <w:lang w:val="ro-RO"/>
        </w:rPr>
        <w:t>Sursa: Baza de date ANOFM</w:t>
      </w:r>
    </w:p>
    <w:p w14:paraId="6151BB57" w14:textId="77777777" w:rsidR="00EF68E3" w:rsidRPr="00644D4E" w:rsidRDefault="00EF68E3" w:rsidP="00C50972">
      <w:pPr>
        <w:spacing w:after="0" w:line="240" w:lineRule="auto"/>
        <w:jc w:val="both"/>
        <w:rPr>
          <w:rFonts w:ascii="Times New Roman" w:hAnsi="Times New Roman" w:cs="Times New Roman"/>
          <w:sz w:val="24"/>
          <w:szCs w:val="24"/>
          <w:lang w:val="ro-RO"/>
        </w:rPr>
      </w:pPr>
    </w:p>
    <w:p w14:paraId="178CDBF7" w14:textId="7F46400F" w:rsidR="00C50972" w:rsidRPr="00644D4E" w:rsidRDefault="00C50972" w:rsidP="00C50972">
      <w:pPr>
        <w:spacing w:after="120" w:line="240" w:lineRule="auto"/>
        <w:ind w:left="284"/>
        <w:jc w:val="both"/>
        <w:rPr>
          <w:rFonts w:ascii="Times New Roman" w:hAnsi="Times New Roman" w:cs="Times New Roman"/>
          <w:sz w:val="24"/>
          <w:szCs w:val="24"/>
          <w:lang w:val="ro-RO"/>
        </w:rPr>
      </w:pPr>
      <w:r w:rsidRPr="00644D4E">
        <w:rPr>
          <w:rFonts w:ascii="Times New Roman" w:hAnsi="Times New Roman" w:cs="Times New Roman"/>
          <w:sz w:val="24"/>
          <w:szCs w:val="24"/>
          <w:lang w:val="ro-RO"/>
        </w:rPr>
        <w:t xml:space="preserve">Comparativ cu anul precedent, se observă o creștere semnificativă a numărului de locuri de muncă vacante în </w:t>
      </w:r>
      <w:r w:rsidRPr="00644D4E">
        <w:rPr>
          <w:rFonts w:ascii="Times New Roman" w:hAnsi="Times New Roman" w:cs="Times New Roman"/>
          <w:i/>
          <w:sz w:val="24"/>
          <w:szCs w:val="24"/>
          <w:lang w:val="ro-RO"/>
        </w:rPr>
        <w:t xml:space="preserve">Alte </w:t>
      </w:r>
      <w:proofErr w:type="spellStart"/>
      <w:r w:rsidRPr="00644D4E">
        <w:rPr>
          <w:rFonts w:ascii="Times New Roman" w:hAnsi="Times New Roman" w:cs="Times New Roman"/>
          <w:i/>
          <w:sz w:val="24"/>
          <w:szCs w:val="24"/>
          <w:lang w:val="ro-RO"/>
        </w:rPr>
        <w:t>activitățți</w:t>
      </w:r>
      <w:proofErr w:type="spellEnd"/>
      <w:r w:rsidRPr="00644D4E">
        <w:rPr>
          <w:rFonts w:ascii="Times New Roman" w:hAnsi="Times New Roman" w:cs="Times New Roman"/>
          <w:i/>
          <w:sz w:val="24"/>
          <w:szCs w:val="24"/>
          <w:lang w:val="ro-RO"/>
        </w:rPr>
        <w:t xml:space="preserve"> de servicii</w:t>
      </w:r>
      <w:r w:rsidRPr="00644D4E">
        <w:rPr>
          <w:rFonts w:ascii="Times New Roman" w:hAnsi="Times New Roman" w:cs="Times New Roman"/>
          <w:sz w:val="24"/>
          <w:szCs w:val="24"/>
          <w:lang w:val="ro-RO"/>
        </w:rPr>
        <w:t xml:space="preserve"> cu </w:t>
      </w:r>
      <w:r w:rsidR="00282404" w:rsidRPr="00644D4E">
        <w:rPr>
          <w:rFonts w:ascii="Times New Roman" w:hAnsi="Times New Roman" w:cs="Times New Roman"/>
          <w:sz w:val="24"/>
          <w:szCs w:val="24"/>
          <w:lang w:val="ro-RO"/>
        </w:rPr>
        <w:t>7</w:t>
      </w:r>
      <w:r w:rsidRPr="00644D4E">
        <w:rPr>
          <w:rFonts w:ascii="Times New Roman" w:hAnsi="Times New Roman" w:cs="Times New Roman"/>
          <w:sz w:val="24"/>
          <w:szCs w:val="24"/>
          <w:lang w:val="ro-RO"/>
        </w:rPr>
        <w:t xml:space="preserve"> </w:t>
      </w:r>
      <w:proofErr w:type="spellStart"/>
      <w:r w:rsidRPr="00644D4E">
        <w:rPr>
          <w:rFonts w:ascii="Times New Roman" w:hAnsi="Times New Roman" w:cs="Times New Roman"/>
          <w:sz w:val="24"/>
          <w:szCs w:val="24"/>
          <w:lang w:val="ro-RO"/>
        </w:rPr>
        <w:t>p.p.</w:t>
      </w:r>
      <w:proofErr w:type="spellEnd"/>
      <w:r w:rsidRPr="00644D4E">
        <w:rPr>
          <w:rFonts w:ascii="Times New Roman" w:hAnsi="Times New Roman" w:cs="Times New Roman"/>
          <w:sz w:val="24"/>
          <w:szCs w:val="24"/>
          <w:lang w:val="ro-RO"/>
        </w:rPr>
        <w:t xml:space="preserve">, </w:t>
      </w:r>
      <w:r w:rsidR="00282404" w:rsidRPr="00644D4E">
        <w:rPr>
          <w:rFonts w:ascii="Times New Roman" w:hAnsi="Times New Roman" w:cs="Times New Roman"/>
          <w:i/>
          <w:sz w:val="24"/>
          <w:szCs w:val="24"/>
          <w:lang w:val="ro-RO"/>
        </w:rPr>
        <w:t>Agricultură, silvicultură</w:t>
      </w:r>
      <w:r w:rsidR="00172AC2" w:rsidRPr="00644D4E">
        <w:rPr>
          <w:rFonts w:ascii="Times New Roman" w:hAnsi="Times New Roman" w:cs="Times New Roman"/>
          <w:i/>
          <w:sz w:val="24"/>
          <w:szCs w:val="24"/>
          <w:lang w:val="ro-RO"/>
        </w:rPr>
        <w:t xml:space="preserve"> și pescuit</w:t>
      </w:r>
      <w:r w:rsidRPr="00644D4E">
        <w:rPr>
          <w:rFonts w:ascii="Times New Roman" w:hAnsi="Times New Roman" w:cs="Times New Roman"/>
          <w:sz w:val="24"/>
          <w:szCs w:val="24"/>
          <w:lang w:val="ro-RO"/>
        </w:rPr>
        <w:t xml:space="preserve"> cu </w:t>
      </w:r>
      <w:r w:rsidR="00172AC2" w:rsidRPr="00644D4E">
        <w:rPr>
          <w:rFonts w:ascii="Times New Roman" w:hAnsi="Times New Roman" w:cs="Times New Roman"/>
          <w:sz w:val="24"/>
          <w:szCs w:val="24"/>
          <w:lang w:val="ro-RO"/>
        </w:rPr>
        <w:t>5</w:t>
      </w:r>
      <w:r w:rsidRPr="00644D4E">
        <w:rPr>
          <w:rFonts w:ascii="Times New Roman" w:hAnsi="Times New Roman" w:cs="Times New Roman"/>
          <w:sz w:val="24"/>
          <w:szCs w:val="24"/>
          <w:lang w:val="ro-RO"/>
        </w:rPr>
        <w:t xml:space="preserve"> </w:t>
      </w:r>
      <w:proofErr w:type="spellStart"/>
      <w:r w:rsidRPr="00644D4E">
        <w:rPr>
          <w:rFonts w:ascii="Times New Roman" w:hAnsi="Times New Roman" w:cs="Times New Roman"/>
          <w:sz w:val="24"/>
          <w:szCs w:val="24"/>
          <w:lang w:val="ro-RO"/>
        </w:rPr>
        <w:t>p.p.</w:t>
      </w:r>
      <w:proofErr w:type="spellEnd"/>
      <w:r w:rsidRPr="00644D4E">
        <w:rPr>
          <w:rFonts w:ascii="Times New Roman" w:hAnsi="Times New Roman" w:cs="Times New Roman"/>
          <w:sz w:val="24"/>
          <w:szCs w:val="24"/>
          <w:lang w:val="ro-RO"/>
        </w:rPr>
        <w:t>, dar și o scădere</w:t>
      </w:r>
      <w:r w:rsidR="00B65E06" w:rsidRPr="00644D4E">
        <w:rPr>
          <w:rFonts w:ascii="Times New Roman" w:hAnsi="Times New Roman" w:cs="Times New Roman"/>
          <w:sz w:val="24"/>
          <w:szCs w:val="24"/>
          <w:lang w:val="ro-RO"/>
        </w:rPr>
        <w:t xml:space="preserve"> în unele activități economice, mai </w:t>
      </w:r>
      <w:r w:rsidR="00AD76BB" w:rsidRPr="00644D4E">
        <w:rPr>
          <w:rFonts w:ascii="Times New Roman" w:hAnsi="Times New Roman" w:cs="Times New Roman"/>
          <w:sz w:val="24"/>
          <w:szCs w:val="24"/>
          <w:lang w:val="ro-RO"/>
        </w:rPr>
        <w:t xml:space="preserve">semnificative fiind în: </w:t>
      </w:r>
      <w:r w:rsidR="00172AC2" w:rsidRPr="00644D4E">
        <w:rPr>
          <w:rFonts w:ascii="Times New Roman" w:hAnsi="Times New Roman" w:cs="Times New Roman"/>
          <w:i/>
          <w:sz w:val="24"/>
          <w:szCs w:val="24"/>
          <w:lang w:val="ro-RO"/>
        </w:rPr>
        <w:t>Industrie</w:t>
      </w:r>
      <w:r w:rsidR="00AD76BB" w:rsidRPr="00644D4E">
        <w:rPr>
          <w:rFonts w:ascii="Times New Roman" w:hAnsi="Times New Roman" w:cs="Times New Roman"/>
          <w:sz w:val="24"/>
          <w:szCs w:val="24"/>
          <w:lang w:val="ro-RO"/>
        </w:rPr>
        <w:t xml:space="preserve"> cu </w:t>
      </w:r>
      <w:r w:rsidR="00172AC2" w:rsidRPr="00644D4E">
        <w:rPr>
          <w:rFonts w:ascii="Times New Roman" w:hAnsi="Times New Roman" w:cs="Times New Roman"/>
          <w:sz w:val="24"/>
          <w:szCs w:val="24"/>
          <w:lang w:val="ro-RO"/>
        </w:rPr>
        <w:t>7</w:t>
      </w:r>
      <w:r w:rsidRPr="00644D4E">
        <w:rPr>
          <w:rFonts w:ascii="Times New Roman" w:hAnsi="Times New Roman" w:cs="Times New Roman"/>
          <w:sz w:val="24"/>
          <w:szCs w:val="24"/>
          <w:lang w:val="ro-RO"/>
        </w:rPr>
        <w:t xml:space="preserve"> </w:t>
      </w:r>
      <w:proofErr w:type="spellStart"/>
      <w:r w:rsidRPr="00644D4E">
        <w:rPr>
          <w:rFonts w:ascii="Times New Roman" w:hAnsi="Times New Roman" w:cs="Times New Roman"/>
          <w:sz w:val="24"/>
          <w:szCs w:val="24"/>
          <w:lang w:val="ro-RO"/>
        </w:rPr>
        <w:t>p.p.</w:t>
      </w:r>
      <w:proofErr w:type="spellEnd"/>
      <w:r w:rsidR="00AD76BB" w:rsidRPr="00644D4E">
        <w:rPr>
          <w:rFonts w:ascii="Times New Roman" w:hAnsi="Times New Roman" w:cs="Times New Roman"/>
          <w:sz w:val="24"/>
          <w:szCs w:val="24"/>
          <w:lang w:val="ro-RO"/>
        </w:rPr>
        <w:t xml:space="preserve"> și </w:t>
      </w:r>
      <w:r w:rsidR="00172AC2" w:rsidRPr="00644D4E">
        <w:rPr>
          <w:rFonts w:ascii="Times New Roman" w:hAnsi="Times New Roman" w:cs="Times New Roman"/>
          <w:i/>
          <w:sz w:val="24"/>
          <w:szCs w:val="24"/>
          <w:lang w:val="ro-RO"/>
        </w:rPr>
        <w:t xml:space="preserve">Sănătate și </w:t>
      </w:r>
      <w:proofErr w:type="spellStart"/>
      <w:r w:rsidR="00172AC2" w:rsidRPr="00644D4E">
        <w:rPr>
          <w:rFonts w:ascii="Times New Roman" w:hAnsi="Times New Roman" w:cs="Times New Roman"/>
          <w:i/>
          <w:sz w:val="24"/>
          <w:szCs w:val="24"/>
          <w:lang w:val="ro-RO"/>
        </w:rPr>
        <w:t>asisență</w:t>
      </w:r>
      <w:proofErr w:type="spellEnd"/>
      <w:r w:rsidR="00172AC2" w:rsidRPr="00644D4E">
        <w:rPr>
          <w:rFonts w:ascii="Times New Roman" w:hAnsi="Times New Roman" w:cs="Times New Roman"/>
          <w:i/>
          <w:sz w:val="24"/>
          <w:szCs w:val="24"/>
          <w:lang w:val="ro-RO"/>
        </w:rPr>
        <w:t xml:space="preserve"> socială</w:t>
      </w:r>
      <w:r w:rsidRPr="00644D4E">
        <w:rPr>
          <w:rFonts w:ascii="Times New Roman" w:hAnsi="Times New Roman" w:cs="Times New Roman"/>
          <w:sz w:val="24"/>
          <w:szCs w:val="24"/>
          <w:lang w:val="ro-RO"/>
        </w:rPr>
        <w:t xml:space="preserve"> cu </w:t>
      </w:r>
      <w:r w:rsidR="00AD76BB" w:rsidRPr="00644D4E">
        <w:rPr>
          <w:rFonts w:ascii="Times New Roman" w:hAnsi="Times New Roman" w:cs="Times New Roman"/>
          <w:sz w:val="24"/>
          <w:szCs w:val="24"/>
          <w:lang w:val="ro-RO"/>
        </w:rPr>
        <w:t>2</w:t>
      </w:r>
      <w:r w:rsidRPr="00644D4E">
        <w:rPr>
          <w:rFonts w:ascii="Times New Roman" w:hAnsi="Times New Roman" w:cs="Times New Roman"/>
          <w:sz w:val="24"/>
          <w:szCs w:val="24"/>
          <w:lang w:val="ro-RO"/>
        </w:rPr>
        <w:t xml:space="preserve"> </w:t>
      </w:r>
      <w:proofErr w:type="spellStart"/>
      <w:r w:rsidRPr="00644D4E">
        <w:rPr>
          <w:rFonts w:ascii="Times New Roman" w:hAnsi="Times New Roman" w:cs="Times New Roman"/>
          <w:sz w:val="24"/>
          <w:szCs w:val="24"/>
          <w:lang w:val="ro-RO"/>
        </w:rPr>
        <w:t>p.p.</w:t>
      </w:r>
      <w:proofErr w:type="spellEnd"/>
      <w:r w:rsidR="00AD76BB" w:rsidRPr="00644D4E">
        <w:rPr>
          <w:rFonts w:ascii="Times New Roman" w:hAnsi="Times New Roman" w:cs="Times New Roman"/>
          <w:sz w:val="24"/>
          <w:szCs w:val="24"/>
          <w:lang w:val="ro-RO"/>
        </w:rPr>
        <w:t xml:space="preserve"> (Figura 2.3.3.2)</w:t>
      </w:r>
      <w:r w:rsidR="004C10FB" w:rsidRPr="00644D4E">
        <w:rPr>
          <w:rFonts w:ascii="Times New Roman" w:hAnsi="Times New Roman" w:cs="Times New Roman"/>
          <w:sz w:val="24"/>
          <w:szCs w:val="24"/>
          <w:lang w:val="ro-RO"/>
        </w:rPr>
        <w:t>.</w:t>
      </w:r>
    </w:p>
    <w:p w14:paraId="11DF40AA" w14:textId="77777777" w:rsidR="006A7E1C" w:rsidRPr="00644D4E" w:rsidRDefault="00C50972" w:rsidP="00C50972">
      <w:pPr>
        <w:pStyle w:val="NoSpacing"/>
        <w:spacing w:after="120"/>
        <w:ind w:left="284"/>
        <w:jc w:val="both"/>
        <w:rPr>
          <w:rFonts w:ascii="Times New Roman" w:hAnsi="Times New Roman" w:cs="Times New Roman"/>
          <w:sz w:val="24"/>
          <w:szCs w:val="24"/>
          <w:lang w:val="ro-RO"/>
        </w:rPr>
      </w:pPr>
      <w:r w:rsidRPr="00644D4E">
        <w:rPr>
          <w:rFonts w:ascii="Times New Roman" w:hAnsi="Times New Roman" w:cs="Times New Roman"/>
          <w:sz w:val="24"/>
          <w:szCs w:val="24"/>
          <w:lang w:val="ro-RO"/>
        </w:rPr>
        <w:t xml:space="preserve">Conform </w:t>
      </w:r>
      <w:r w:rsidRPr="00644D4E">
        <w:rPr>
          <w:rFonts w:ascii="Times New Roman" w:hAnsi="Times New Roman" w:cs="Times New Roman"/>
          <w:b/>
          <w:sz w:val="24"/>
          <w:szCs w:val="24"/>
          <w:lang w:val="ro-RO"/>
        </w:rPr>
        <w:t xml:space="preserve">ocupațiilor </w:t>
      </w:r>
      <w:r w:rsidRPr="00644D4E">
        <w:rPr>
          <w:rFonts w:ascii="Times New Roman" w:hAnsi="Times New Roman" w:cs="Times New Roman"/>
          <w:sz w:val="24"/>
          <w:szCs w:val="24"/>
          <w:lang w:val="ro-RO"/>
        </w:rPr>
        <w:t xml:space="preserve">(Tabelul 1) ponderea cea mai mare din numărul total de locuri de muncă vacante o ocupă </w:t>
      </w:r>
      <w:r w:rsidRPr="00644D4E">
        <w:rPr>
          <w:rFonts w:ascii="Times New Roman" w:hAnsi="Times New Roman" w:cs="Times New Roman"/>
          <w:i/>
          <w:sz w:val="24"/>
          <w:szCs w:val="24"/>
          <w:lang w:val="ro-RO"/>
        </w:rPr>
        <w:t>Muncitorii calificați</w:t>
      </w:r>
      <w:r w:rsidRPr="00644D4E">
        <w:rPr>
          <w:rFonts w:ascii="Times New Roman" w:hAnsi="Times New Roman" w:cs="Times New Roman"/>
          <w:sz w:val="24"/>
          <w:szCs w:val="24"/>
          <w:lang w:val="ro-RO"/>
        </w:rPr>
        <w:t xml:space="preserve"> </w:t>
      </w:r>
      <w:r w:rsidR="009A5247" w:rsidRPr="00644D4E">
        <w:rPr>
          <w:rFonts w:ascii="Times New Roman" w:hAnsi="Times New Roman" w:cs="Times New Roman"/>
          <w:i/>
          <w:sz w:val="24"/>
          <w:szCs w:val="24"/>
          <w:lang w:val="ro-RO"/>
        </w:rPr>
        <w:t>și asimilați</w:t>
      </w:r>
      <w:r w:rsidR="009A5247" w:rsidRPr="00644D4E">
        <w:rPr>
          <w:rFonts w:ascii="Times New Roman" w:hAnsi="Times New Roman" w:cs="Times New Roman"/>
          <w:sz w:val="24"/>
          <w:szCs w:val="24"/>
          <w:lang w:val="ro-RO"/>
        </w:rPr>
        <w:t xml:space="preserve"> </w:t>
      </w:r>
      <w:r w:rsidRPr="00644D4E">
        <w:rPr>
          <w:rFonts w:ascii="Times New Roman" w:hAnsi="Times New Roman" w:cs="Times New Roman"/>
          <w:sz w:val="24"/>
          <w:szCs w:val="24"/>
          <w:lang w:val="ro-RO"/>
        </w:rPr>
        <w:t>(</w:t>
      </w:r>
      <w:r w:rsidR="00CD0B34" w:rsidRPr="00644D4E">
        <w:rPr>
          <w:rFonts w:ascii="Times New Roman" w:hAnsi="Times New Roman" w:cs="Times New Roman"/>
          <w:b/>
          <w:sz w:val="24"/>
          <w:szCs w:val="24"/>
          <w:lang w:val="ro-RO"/>
        </w:rPr>
        <w:t>26,6</w:t>
      </w:r>
      <w:r w:rsidRPr="00644D4E">
        <w:rPr>
          <w:rFonts w:ascii="Times New Roman" w:hAnsi="Times New Roman" w:cs="Times New Roman"/>
          <w:b/>
          <w:sz w:val="24"/>
          <w:szCs w:val="24"/>
          <w:lang w:val="ro-RO"/>
        </w:rPr>
        <w:t>%</w:t>
      </w:r>
      <w:r w:rsidRPr="00644D4E">
        <w:rPr>
          <w:rFonts w:ascii="Times New Roman" w:hAnsi="Times New Roman" w:cs="Times New Roman"/>
          <w:sz w:val="24"/>
          <w:szCs w:val="24"/>
          <w:lang w:val="ro-RO"/>
        </w:rPr>
        <w:t>)</w:t>
      </w:r>
      <w:r w:rsidR="00D15B35" w:rsidRPr="00644D4E">
        <w:rPr>
          <w:rFonts w:ascii="Times New Roman" w:hAnsi="Times New Roman" w:cs="Times New Roman"/>
          <w:sz w:val="24"/>
          <w:szCs w:val="24"/>
          <w:lang w:val="ro-RO"/>
        </w:rPr>
        <w:t>,</w:t>
      </w:r>
      <w:r w:rsidRPr="00644D4E">
        <w:rPr>
          <w:rFonts w:ascii="Times New Roman" w:hAnsi="Times New Roman" w:cs="Times New Roman"/>
          <w:sz w:val="24"/>
          <w:szCs w:val="24"/>
          <w:lang w:val="ro-RO"/>
        </w:rPr>
        <w:t xml:space="preserve"> urmați de </w:t>
      </w:r>
      <w:r w:rsidRPr="00644D4E">
        <w:rPr>
          <w:rFonts w:ascii="Times New Roman" w:hAnsi="Times New Roman" w:cs="Times New Roman"/>
          <w:i/>
          <w:sz w:val="24"/>
          <w:szCs w:val="24"/>
          <w:lang w:val="ro-RO"/>
        </w:rPr>
        <w:t xml:space="preserve">Muncitorii </w:t>
      </w:r>
      <w:r w:rsidR="009A5247" w:rsidRPr="00644D4E">
        <w:rPr>
          <w:rFonts w:ascii="Times New Roman" w:hAnsi="Times New Roman" w:cs="Times New Roman"/>
          <w:i/>
          <w:sz w:val="24"/>
          <w:szCs w:val="24"/>
          <w:lang w:val="ro-RO"/>
        </w:rPr>
        <w:t>ne</w:t>
      </w:r>
      <w:r w:rsidRPr="00644D4E">
        <w:rPr>
          <w:rFonts w:ascii="Times New Roman" w:hAnsi="Times New Roman" w:cs="Times New Roman"/>
          <w:i/>
          <w:sz w:val="24"/>
          <w:szCs w:val="24"/>
          <w:lang w:val="ro-RO"/>
        </w:rPr>
        <w:t xml:space="preserve">calificați </w:t>
      </w:r>
      <w:r w:rsidRPr="00644D4E">
        <w:rPr>
          <w:rFonts w:ascii="Times New Roman" w:hAnsi="Times New Roman" w:cs="Times New Roman"/>
          <w:sz w:val="24"/>
          <w:szCs w:val="24"/>
          <w:lang w:val="ro-RO"/>
        </w:rPr>
        <w:t>(</w:t>
      </w:r>
      <w:r w:rsidR="00CD0B34" w:rsidRPr="00644D4E">
        <w:rPr>
          <w:rFonts w:ascii="Times New Roman" w:hAnsi="Times New Roman" w:cs="Times New Roman"/>
          <w:b/>
          <w:sz w:val="24"/>
          <w:szCs w:val="24"/>
          <w:lang w:val="ro-RO"/>
        </w:rPr>
        <w:t>24,8</w:t>
      </w:r>
      <w:r w:rsidRPr="00644D4E">
        <w:rPr>
          <w:rFonts w:ascii="Times New Roman" w:hAnsi="Times New Roman" w:cs="Times New Roman"/>
          <w:b/>
          <w:sz w:val="24"/>
          <w:szCs w:val="24"/>
          <w:lang w:val="ro-RO"/>
        </w:rPr>
        <w:t>%</w:t>
      </w:r>
      <w:r w:rsidRPr="00644D4E">
        <w:rPr>
          <w:rFonts w:ascii="Times New Roman" w:hAnsi="Times New Roman" w:cs="Times New Roman"/>
          <w:sz w:val="24"/>
          <w:szCs w:val="24"/>
          <w:lang w:val="ro-RO"/>
        </w:rPr>
        <w:t xml:space="preserve">). </w:t>
      </w:r>
      <w:r w:rsidR="00D15B35" w:rsidRPr="00644D4E">
        <w:rPr>
          <w:rFonts w:ascii="Times New Roman" w:hAnsi="Times New Roman" w:cs="Times New Roman"/>
          <w:sz w:val="24"/>
          <w:szCs w:val="24"/>
          <w:lang w:val="ro-RO"/>
        </w:rPr>
        <w:t xml:space="preserve">Ce ține de </w:t>
      </w:r>
      <w:r w:rsidR="00CD0B34" w:rsidRPr="00644D4E">
        <w:rPr>
          <w:rFonts w:ascii="Times New Roman" w:hAnsi="Times New Roman" w:cs="Times New Roman"/>
          <w:i/>
          <w:sz w:val="24"/>
          <w:szCs w:val="24"/>
          <w:lang w:val="ro-RO"/>
        </w:rPr>
        <w:t>ș</w:t>
      </w:r>
      <w:r w:rsidR="00462569" w:rsidRPr="00644D4E">
        <w:rPr>
          <w:rFonts w:ascii="Times New Roman" w:hAnsi="Times New Roman" w:cs="Times New Roman"/>
          <w:i/>
          <w:sz w:val="24"/>
          <w:szCs w:val="24"/>
          <w:lang w:val="ro-RO"/>
        </w:rPr>
        <w:t>omer</w:t>
      </w:r>
      <w:r w:rsidR="00D15B35" w:rsidRPr="00644D4E">
        <w:rPr>
          <w:rFonts w:ascii="Times New Roman" w:hAnsi="Times New Roman" w:cs="Times New Roman"/>
          <w:i/>
          <w:sz w:val="24"/>
          <w:szCs w:val="24"/>
          <w:lang w:val="ro-RO"/>
        </w:rPr>
        <w:t>i</w:t>
      </w:r>
      <w:r w:rsidR="00462569" w:rsidRPr="00644D4E">
        <w:rPr>
          <w:rFonts w:ascii="Times New Roman" w:hAnsi="Times New Roman" w:cs="Times New Roman"/>
          <w:sz w:val="24"/>
          <w:szCs w:val="24"/>
          <w:lang w:val="ro-RO"/>
        </w:rPr>
        <w:t xml:space="preserve">, cea mai mare pondere o constituie </w:t>
      </w:r>
      <w:r w:rsidR="00462569" w:rsidRPr="00644D4E">
        <w:rPr>
          <w:rFonts w:ascii="Times New Roman" w:hAnsi="Times New Roman" w:cs="Times New Roman"/>
          <w:i/>
          <w:sz w:val="24"/>
          <w:szCs w:val="24"/>
          <w:lang w:val="ro-RO"/>
        </w:rPr>
        <w:t>Muncitorii necalificați</w:t>
      </w:r>
      <w:r w:rsidR="00462569" w:rsidRPr="00644D4E">
        <w:rPr>
          <w:rFonts w:ascii="Times New Roman" w:hAnsi="Times New Roman" w:cs="Times New Roman"/>
          <w:sz w:val="24"/>
          <w:szCs w:val="24"/>
          <w:lang w:val="ro-RO"/>
        </w:rPr>
        <w:t xml:space="preserve"> (</w:t>
      </w:r>
      <w:r w:rsidR="00CD0B34" w:rsidRPr="00644D4E">
        <w:rPr>
          <w:rFonts w:ascii="Times New Roman" w:hAnsi="Times New Roman" w:cs="Times New Roman"/>
          <w:b/>
          <w:sz w:val="24"/>
          <w:szCs w:val="24"/>
          <w:lang w:val="ro-RO"/>
        </w:rPr>
        <w:t>32,4</w:t>
      </w:r>
      <w:r w:rsidR="00462569" w:rsidRPr="00644D4E">
        <w:rPr>
          <w:rFonts w:ascii="Times New Roman" w:hAnsi="Times New Roman" w:cs="Times New Roman"/>
          <w:b/>
          <w:sz w:val="24"/>
          <w:szCs w:val="24"/>
          <w:lang w:val="ro-RO"/>
        </w:rPr>
        <w:t>%</w:t>
      </w:r>
      <w:r w:rsidR="00462569" w:rsidRPr="00644D4E">
        <w:rPr>
          <w:rFonts w:ascii="Times New Roman" w:hAnsi="Times New Roman" w:cs="Times New Roman"/>
          <w:sz w:val="24"/>
          <w:szCs w:val="24"/>
          <w:lang w:val="ro-RO"/>
        </w:rPr>
        <w:t xml:space="preserve">). </w:t>
      </w:r>
      <w:r w:rsidRPr="00644D4E">
        <w:rPr>
          <w:rFonts w:ascii="Times New Roman" w:hAnsi="Times New Roman" w:cs="Times New Roman"/>
          <w:sz w:val="24"/>
          <w:szCs w:val="24"/>
          <w:lang w:val="ro-RO"/>
        </w:rPr>
        <w:lastRenderedPageBreak/>
        <w:t xml:space="preserve">Analizând </w:t>
      </w:r>
      <w:r w:rsidR="001B1ED2" w:rsidRPr="00644D4E">
        <w:rPr>
          <w:rFonts w:ascii="Times New Roman" w:hAnsi="Times New Roman" w:cs="Times New Roman"/>
          <w:sz w:val="24"/>
          <w:szCs w:val="24"/>
          <w:lang w:val="ro-RO"/>
        </w:rPr>
        <w:t>corelarea între cerere</w:t>
      </w:r>
      <w:r w:rsidR="003E6C07" w:rsidRPr="00644D4E">
        <w:rPr>
          <w:rFonts w:ascii="Times New Roman" w:hAnsi="Times New Roman" w:cs="Times New Roman"/>
          <w:sz w:val="24"/>
          <w:szCs w:val="24"/>
          <w:lang w:val="ro-RO"/>
        </w:rPr>
        <w:t>a</w:t>
      </w:r>
      <w:r w:rsidR="001B1ED2" w:rsidRPr="00644D4E">
        <w:rPr>
          <w:rFonts w:ascii="Times New Roman" w:hAnsi="Times New Roman" w:cs="Times New Roman"/>
          <w:sz w:val="24"/>
          <w:szCs w:val="24"/>
          <w:lang w:val="ro-RO"/>
        </w:rPr>
        <w:t xml:space="preserve"> și ofert</w:t>
      </w:r>
      <w:r w:rsidR="003E6C07" w:rsidRPr="00644D4E">
        <w:rPr>
          <w:rFonts w:ascii="Times New Roman" w:hAnsi="Times New Roman" w:cs="Times New Roman"/>
          <w:sz w:val="24"/>
          <w:szCs w:val="24"/>
          <w:lang w:val="ro-RO"/>
        </w:rPr>
        <w:t>a forței de muncă</w:t>
      </w:r>
      <w:r w:rsidR="001B1ED2" w:rsidRPr="00644D4E">
        <w:rPr>
          <w:rFonts w:ascii="Times New Roman" w:hAnsi="Times New Roman" w:cs="Times New Roman"/>
          <w:sz w:val="24"/>
          <w:szCs w:val="24"/>
          <w:lang w:val="ro-RO"/>
        </w:rPr>
        <w:t xml:space="preserve"> </w:t>
      </w:r>
      <w:r w:rsidRPr="00644D4E">
        <w:rPr>
          <w:rFonts w:ascii="Times New Roman" w:hAnsi="Times New Roman" w:cs="Times New Roman"/>
          <w:sz w:val="24"/>
          <w:szCs w:val="24"/>
          <w:lang w:val="ro-RO"/>
        </w:rPr>
        <w:t>pe ocupații se observă discrepanțe semnificative</w:t>
      </w:r>
      <w:r w:rsidR="001B1ED2" w:rsidRPr="00644D4E">
        <w:rPr>
          <w:rFonts w:ascii="Times New Roman" w:hAnsi="Times New Roman" w:cs="Times New Roman"/>
          <w:sz w:val="24"/>
          <w:szCs w:val="24"/>
          <w:lang w:val="ro-RO"/>
        </w:rPr>
        <w:t>, în mod special</w:t>
      </w:r>
      <w:r w:rsidRPr="00644D4E">
        <w:rPr>
          <w:rFonts w:ascii="Times New Roman" w:hAnsi="Times New Roman" w:cs="Times New Roman"/>
          <w:sz w:val="24"/>
          <w:szCs w:val="24"/>
          <w:lang w:val="ro-RO"/>
        </w:rPr>
        <w:t xml:space="preserve"> </w:t>
      </w:r>
      <w:r w:rsidR="003E6C07" w:rsidRPr="00644D4E">
        <w:rPr>
          <w:rFonts w:ascii="Times New Roman" w:hAnsi="Times New Roman" w:cs="Times New Roman"/>
          <w:sz w:val="24"/>
          <w:szCs w:val="24"/>
          <w:lang w:val="ro-RO"/>
        </w:rPr>
        <w:t>se</w:t>
      </w:r>
      <w:r w:rsidRPr="00644D4E">
        <w:rPr>
          <w:rFonts w:ascii="Times New Roman" w:hAnsi="Times New Roman" w:cs="Times New Roman"/>
          <w:sz w:val="24"/>
          <w:szCs w:val="24"/>
          <w:lang w:val="ro-RO"/>
        </w:rPr>
        <w:t xml:space="preserve"> semnalează o lipsă acută a forței de muncă</w:t>
      </w:r>
      <w:r w:rsidR="003E6C07" w:rsidRPr="00644D4E">
        <w:rPr>
          <w:rFonts w:ascii="Times New Roman" w:hAnsi="Times New Roman" w:cs="Times New Roman"/>
          <w:sz w:val="24"/>
          <w:szCs w:val="24"/>
          <w:lang w:val="ro-RO"/>
        </w:rPr>
        <w:t xml:space="preserve"> calificate, l</w:t>
      </w:r>
      <w:r w:rsidRPr="00644D4E">
        <w:rPr>
          <w:rFonts w:ascii="Times New Roman" w:hAnsi="Times New Roman" w:cs="Times New Roman"/>
          <w:sz w:val="24"/>
          <w:szCs w:val="24"/>
          <w:lang w:val="ro-RO"/>
        </w:rPr>
        <w:t xml:space="preserve">a </w:t>
      </w:r>
      <w:r w:rsidRPr="00644D4E">
        <w:rPr>
          <w:rFonts w:ascii="Times New Roman" w:hAnsi="Times New Roman" w:cs="Times New Roman"/>
          <w:i/>
          <w:sz w:val="24"/>
          <w:szCs w:val="24"/>
          <w:lang w:val="ro-RO"/>
        </w:rPr>
        <w:t xml:space="preserve">Muncitori calificați, </w:t>
      </w:r>
      <w:r w:rsidRPr="00644D4E">
        <w:rPr>
          <w:rFonts w:ascii="Times New Roman" w:hAnsi="Times New Roman" w:cs="Times New Roman"/>
          <w:sz w:val="24"/>
          <w:szCs w:val="24"/>
          <w:lang w:val="ro-RO"/>
        </w:rPr>
        <w:t>cererea forței de muncă depăș</w:t>
      </w:r>
      <w:r w:rsidR="003E6C07" w:rsidRPr="00644D4E">
        <w:rPr>
          <w:rFonts w:ascii="Times New Roman" w:hAnsi="Times New Roman" w:cs="Times New Roman"/>
          <w:sz w:val="24"/>
          <w:szCs w:val="24"/>
          <w:lang w:val="ro-RO"/>
        </w:rPr>
        <w:t>ind</w:t>
      </w:r>
      <w:r w:rsidRPr="00644D4E">
        <w:rPr>
          <w:rFonts w:ascii="Times New Roman" w:hAnsi="Times New Roman" w:cs="Times New Roman"/>
          <w:sz w:val="24"/>
          <w:szCs w:val="24"/>
          <w:lang w:val="ro-RO"/>
        </w:rPr>
        <w:t xml:space="preserve"> oferta cu </w:t>
      </w:r>
      <w:r w:rsidR="00401616" w:rsidRPr="00644D4E">
        <w:rPr>
          <w:rFonts w:ascii="Times New Roman" w:hAnsi="Times New Roman" w:cs="Times New Roman"/>
          <w:sz w:val="24"/>
          <w:szCs w:val="24"/>
          <w:lang w:val="ro-RO"/>
        </w:rPr>
        <w:t xml:space="preserve">cca 17 </w:t>
      </w:r>
      <w:proofErr w:type="spellStart"/>
      <w:r w:rsidR="00401616" w:rsidRPr="00644D4E">
        <w:rPr>
          <w:rFonts w:ascii="Times New Roman" w:hAnsi="Times New Roman" w:cs="Times New Roman"/>
          <w:sz w:val="24"/>
          <w:szCs w:val="24"/>
          <w:lang w:val="ro-RO"/>
        </w:rPr>
        <w:t>p.p</w:t>
      </w:r>
      <w:r w:rsidR="00FC42D9" w:rsidRPr="00644D4E">
        <w:rPr>
          <w:rFonts w:ascii="Times New Roman" w:hAnsi="Times New Roman" w:cs="Times New Roman"/>
          <w:sz w:val="24"/>
          <w:szCs w:val="24"/>
          <w:lang w:val="ro-RO"/>
        </w:rPr>
        <w:t>.</w:t>
      </w:r>
      <w:proofErr w:type="spellEnd"/>
      <w:r w:rsidR="00FC42D9" w:rsidRPr="00644D4E">
        <w:rPr>
          <w:rFonts w:ascii="Times New Roman" w:hAnsi="Times New Roman" w:cs="Times New Roman"/>
          <w:sz w:val="24"/>
          <w:szCs w:val="24"/>
          <w:lang w:val="ro-RO"/>
        </w:rPr>
        <w:t xml:space="preserve"> </w:t>
      </w:r>
      <w:r w:rsidR="003E6C07" w:rsidRPr="00644D4E">
        <w:rPr>
          <w:rFonts w:ascii="Times New Roman" w:hAnsi="Times New Roman" w:cs="Times New Roman"/>
          <w:sz w:val="24"/>
          <w:szCs w:val="24"/>
          <w:lang w:val="ro-RO"/>
        </w:rPr>
        <w:t xml:space="preserve">Pe de altă parte </w:t>
      </w:r>
      <w:r w:rsidRPr="00644D4E">
        <w:rPr>
          <w:rFonts w:ascii="Times New Roman" w:hAnsi="Times New Roman" w:cs="Times New Roman"/>
          <w:i/>
          <w:sz w:val="24"/>
          <w:szCs w:val="24"/>
          <w:lang w:val="ro-RO"/>
        </w:rPr>
        <w:t>Muncitori</w:t>
      </w:r>
      <w:r w:rsidR="005D1A9C" w:rsidRPr="00644D4E">
        <w:rPr>
          <w:rFonts w:ascii="Times New Roman" w:hAnsi="Times New Roman" w:cs="Times New Roman"/>
          <w:i/>
          <w:sz w:val="24"/>
          <w:szCs w:val="24"/>
          <w:lang w:val="ro-RO"/>
        </w:rPr>
        <w:t>i</w:t>
      </w:r>
      <w:r w:rsidRPr="00644D4E">
        <w:rPr>
          <w:rFonts w:ascii="Times New Roman" w:hAnsi="Times New Roman" w:cs="Times New Roman"/>
          <w:i/>
          <w:sz w:val="24"/>
          <w:szCs w:val="24"/>
          <w:lang w:val="ro-RO"/>
        </w:rPr>
        <w:t xml:space="preserve"> necalificați</w:t>
      </w:r>
      <w:r w:rsidR="003E6C07" w:rsidRPr="00644D4E">
        <w:rPr>
          <w:rFonts w:ascii="Times New Roman" w:hAnsi="Times New Roman" w:cs="Times New Roman"/>
          <w:i/>
          <w:sz w:val="24"/>
          <w:szCs w:val="24"/>
          <w:lang w:val="ro-RO"/>
        </w:rPr>
        <w:t xml:space="preserve"> </w:t>
      </w:r>
      <w:r w:rsidR="003E6C07" w:rsidRPr="00644D4E">
        <w:rPr>
          <w:rFonts w:ascii="Times New Roman" w:hAnsi="Times New Roman" w:cs="Times New Roman"/>
          <w:sz w:val="24"/>
          <w:szCs w:val="24"/>
          <w:lang w:val="ro-RO"/>
        </w:rPr>
        <w:t>înregistrați în baza de date a ANOFM</w:t>
      </w:r>
      <w:r w:rsidRPr="00644D4E">
        <w:rPr>
          <w:rFonts w:ascii="Times New Roman" w:hAnsi="Times New Roman" w:cs="Times New Roman"/>
          <w:sz w:val="24"/>
          <w:szCs w:val="24"/>
          <w:lang w:val="ro-RO"/>
        </w:rPr>
        <w:t xml:space="preserve">, depășesc cererea cu </w:t>
      </w:r>
      <w:r w:rsidR="00401616" w:rsidRPr="00644D4E">
        <w:rPr>
          <w:rFonts w:ascii="Times New Roman" w:hAnsi="Times New Roman" w:cs="Times New Roman"/>
          <w:sz w:val="24"/>
          <w:szCs w:val="24"/>
          <w:lang w:val="ro-RO"/>
        </w:rPr>
        <w:t>cca 8</w:t>
      </w:r>
      <w:r w:rsidRPr="00644D4E">
        <w:rPr>
          <w:rFonts w:ascii="Times New Roman" w:hAnsi="Times New Roman" w:cs="Times New Roman"/>
          <w:sz w:val="24"/>
          <w:szCs w:val="24"/>
          <w:lang w:val="ro-RO"/>
        </w:rPr>
        <w:t xml:space="preserve"> </w:t>
      </w:r>
      <w:proofErr w:type="spellStart"/>
      <w:r w:rsidRPr="00644D4E">
        <w:rPr>
          <w:rFonts w:ascii="Times New Roman" w:hAnsi="Times New Roman" w:cs="Times New Roman"/>
          <w:sz w:val="24"/>
          <w:szCs w:val="24"/>
          <w:lang w:val="ro-RO"/>
        </w:rPr>
        <w:t>p.p.</w:t>
      </w:r>
      <w:proofErr w:type="spellEnd"/>
      <w:r w:rsidRPr="00644D4E">
        <w:rPr>
          <w:rFonts w:ascii="Times New Roman" w:hAnsi="Times New Roman" w:cs="Times New Roman"/>
          <w:sz w:val="24"/>
          <w:szCs w:val="24"/>
          <w:lang w:val="ro-RO"/>
        </w:rPr>
        <w:t xml:space="preserve"> În concluzie, se atestă o discrepanță majoră în ceea ce privește competențele forței de muncă de pe piață și cele solicitate de angajatori.</w:t>
      </w:r>
      <w:r w:rsidR="008850A1" w:rsidRPr="00644D4E">
        <w:rPr>
          <w:rFonts w:ascii="Times New Roman" w:hAnsi="Times New Roman" w:cs="Times New Roman"/>
          <w:sz w:val="24"/>
          <w:szCs w:val="24"/>
          <w:lang w:val="ro-RO"/>
        </w:rPr>
        <w:t xml:space="preserve"> </w:t>
      </w:r>
    </w:p>
    <w:p w14:paraId="3CC07A7F" w14:textId="77777777" w:rsidR="00C50972" w:rsidRPr="00644D4E" w:rsidRDefault="00C50972" w:rsidP="00034CA0">
      <w:pPr>
        <w:spacing w:after="0" w:line="240" w:lineRule="auto"/>
        <w:jc w:val="center"/>
        <w:rPr>
          <w:rFonts w:ascii="Times New Roman" w:hAnsi="Times New Roman" w:cs="Times New Roman"/>
          <w:b/>
          <w:lang w:val="ro-RO"/>
        </w:rPr>
      </w:pPr>
      <w:r w:rsidRPr="00644D4E">
        <w:rPr>
          <w:rFonts w:ascii="Times New Roman" w:hAnsi="Times New Roman" w:cs="Times New Roman"/>
          <w:b/>
          <w:lang w:val="ro-RO"/>
        </w:rPr>
        <w:t xml:space="preserve">Tab. 1. Locuri vacante înregistrate și șomeri înregistrați, </w:t>
      </w:r>
    </w:p>
    <w:p w14:paraId="3F283194" w14:textId="77777777" w:rsidR="00C50972" w:rsidRPr="00644D4E" w:rsidRDefault="00C50972" w:rsidP="004C6FFA">
      <w:pPr>
        <w:spacing w:after="60" w:line="240" w:lineRule="auto"/>
        <w:jc w:val="center"/>
        <w:rPr>
          <w:rFonts w:ascii="Times New Roman" w:hAnsi="Times New Roman" w:cs="Times New Roman"/>
          <w:b/>
          <w:lang w:val="ro-RO"/>
        </w:rPr>
      </w:pPr>
      <w:r w:rsidRPr="00644D4E">
        <w:rPr>
          <w:rFonts w:ascii="Times New Roman" w:hAnsi="Times New Roman" w:cs="Times New Roman"/>
          <w:b/>
          <w:lang w:val="ro-RO"/>
        </w:rPr>
        <w:t xml:space="preserve"> conform ocupațiilor clasificate după grupa majoră, pondere</w:t>
      </w:r>
    </w:p>
    <w:tbl>
      <w:tblPr>
        <w:tblStyle w:val="TableGrid"/>
        <w:tblW w:w="8065" w:type="dxa"/>
        <w:jc w:val="center"/>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insideH w:val="double" w:sz="4" w:space="0" w:color="365F91" w:themeColor="accent1" w:themeShade="BF"/>
          <w:insideV w:val="double" w:sz="4" w:space="0" w:color="365F91" w:themeColor="accent1" w:themeShade="BF"/>
        </w:tblBorders>
        <w:tblLayout w:type="fixed"/>
        <w:tblLook w:val="04A0" w:firstRow="1" w:lastRow="0" w:firstColumn="1" w:lastColumn="0" w:noHBand="0" w:noVBand="1"/>
      </w:tblPr>
      <w:tblGrid>
        <w:gridCol w:w="265"/>
        <w:gridCol w:w="4130"/>
        <w:gridCol w:w="992"/>
        <w:gridCol w:w="977"/>
        <w:gridCol w:w="851"/>
        <w:gridCol w:w="850"/>
      </w:tblGrid>
      <w:tr w:rsidR="00644D4E" w:rsidRPr="00644D4E" w14:paraId="4FF936F0" w14:textId="77777777" w:rsidTr="003E183A">
        <w:trPr>
          <w:jc w:val="center"/>
        </w:trPr>
        <w:tc>
          <w:tcPr>
            <w:tcW w:w="4395" w:type="dxa"/>
            <w:gridSpan w:val="2"/>
            <w:shd w:val="clear" w:color="auto" w:fill="DBE5F1" w:themeFill="accent1" w:themeFillTint="33"/>
          </w:tcPr>
          <w:p w14:paraId="0402D3A2" w14:textId="77777777" w:rsidR="003E183A" w:rsidRPr="00644D4E" w:rsidRDefault="003E183A" w:rsidP="00EF68E3">
            <w:pPr>
              <w:spacing w:after="0" w:line="240" w:lineRule="auto"/>
              <w:jc w:val="center"/>
              <w:rPr>
                <w:rFonts w:ascii="Times New Roman" w:hAnsi="Times New Roman" w:cs="Times New Roman"/>
                <w:b/>
                <w:sz w:val="18"/>
                <w:szCs w:val="18"/>
                <w:lang w:val="ro-RO"/>
              </w:rPr>
            </w:pPr>
            <w:r w:rsidRPr="00644D4E">
              <w:rPr>
                <w:rFonts w:ascii="Times New Roman" w:hAnsi="Times New Roman" w:cs="Times New Roman"/>
                <w:b/>
                <w:sz w:val="18"/>
                <w:szCs w:val="18"/>
                <w:lang w:val="ro-RO"/>
              </w:rPr>
              <w:t>Anul</w:t>
            </w:r>
          </w:p>
        </w:tc>
        <w:tc>
          <w:tcPr>
            <w:tcW w:w="992" w:type="dxa"/>
            <w:shd w:val="clear" w:color="auto" w:fill="DBE5F1" w:themeFill="accent1" w:themeFillTint="33"/>
          </w:tcPr>
          <w:p w14:paraId="7B7DB1A9" w14:textId="77777777" w:rsidR="003E183A" w:rsidRPr="00644D4E" w:rsidRDefault="003E183A" w:rsidP="003E183A">
            <w:pPr>
              <w:spacing w:after="0" w:line="240" w:lineRule="auto"/>
              <w:jc w:val="center"/>
              <w:rPr>
                <w:rFonts w:ascii="Times New Roman" w:hAnsi="Times New Roman" w:cs="Times New Roman"/>
                <w:b/>
                <w:sz w:val="18"/>
                <w:szCs w:val="18"/>
                <w:lang w:val="ro-RO"/>
              </w:rPr>
            </w:pPr>
            <w:r w:rsidRPr="00644D4E">
              <w:rPr>
                <w:rFonts w:ascii="Times New Roman" w:hAnsi="Times New Roman" w:cs="Times New Roman"/>
                <w:b/>
                <w:sz w:val="18"/>
                <w:szCs w:val="18"/>
                <w:lang w:val="ro-RO"/>
              </w:rPr>
              <w:t>202</w:t>
            </w:r>
            <w:r w:rsidR="0064706E" w:rsidRPr="00644D4E">
              <w:rPr>
                <w:rFonts w:ascii="Times New Roman" w:hAnsi="Times New Roman" w:cs="Times New Roman"/>
                <w:b/>
                <w:sz w:val="18"/>
                <w:szCs w:val="18"/>
                <w:lang w:val="ro-RO"/>
              </w:rPr>
              <w:t>2</w:t>
            </w:r>
            <w:r w:rsidRPr="00644D4E">
              <w:rPr>
                <w:rFonts w:ascii="Times New Roman" w:hAnsi="Times New Roman" w:cs="Times New Roman"/>
                <w:b/>
                <w:sz w:val="18"/>
                <w:szCs w:val="18"/>
                <w:lang w:val="ro-RO"/>
              </w:rPr>
              <w:t xml:space="preserve"> </w:t>
            </w:r>
          </w:p>
          <w:p w14:paraId="201588FF" w14:textId="77777777" w:rsidR="003E183A" w:rsidRPr="00644D4E" w:rsidRDefault="003E183A" w:rsidP="003E183A">
            <w:pPr>
              <w:spacing w:after="0" w:line="240" w:lineRule="auto"/>
              <w:jc w:val="center"/>
              <w:rPr>
                <w:rFonts w:ascii="Times New Roman" w:hAnsi="Times New Roman" w:cs="Times New Roman"/>
                <w:b/>
                <w:sz w:val="18"/>
                <w:szCs w:val="18"/>
                <w:lang w:val="ro-RO"/>
              </w:rPr>
            </w:pPr>
            <w:r w:rsidRPr="00644D4E">
              <w:rPr>
                <w:rFonts w:ascii="Times New Roman" w:hAnsi="Times New Roman" w:cs="Times New Roman"/>
                <w:sz w:val="12"/>
                <w:szCs w:val="12"/>
                <w:lang w:val="ro-RO"/>
              </w:rPr>
              <w:t>Locuri vacante</w:t>
            </w:r>
          </w:p>
        </w:tc>
        <w:tc>
          <w:tcPr>
            <w:tcW w:w="977" w:type="dxa"/>
            <w:shd w:val="clear" w:color="auto" w:fill="DBE5F1" w:themeFill="accent1" w:themeFillTint="33"/>
          </w:tcPr>
          <w:p w14:paraId="753567FD" w14:textId="77777777" w:rsidR="003E183A" w:rsidRPr="00644D4E" w:rsidRDefault="003E183A" w:rsidP="003E183A">
            <w:pPr>
              <w:spacing w:after="0" w:line="240" w:lineRule="auto"/>
              <w:jc w:val="center"/>
              <w:rPr>
                <w:rFonts w:ascii="Times New Roman" w:hAnsi="Times New Roman" w:cs="Times New Roman"/>
                <w:b/>
                <w:sz w:val="18"/>
                <w:szCs w:val="18"/>
                <w:lang w:val="ro-RO"/>
              </w:rPr>
            </w:pPr>
            <w:r w:rsidRPr="00644D4E">
              <w:rPr>
                <w:rFonts w:ascii="Times New Roman" w:hAnsi="Times New Roman" w:cs="Times New Roman"/>
                <w:b/>
                <w:sz w:val="18"/>
                <w:szCs w:val="18"/>
                <w:lang w:val="ro-RO"/>
              </w:rPr>
              <w:t>202</w:t>
            </w:r>
            <w:r w:rsidR="0064706E" w:rsidRPr="00644D4E">
              <w:rPr>
                <w:rFonts w:ascii="Times New Roman" w:hAnsi="Times New Roman" w:cs="Times New Roman"/>
                <w:b/>
                <w:sz w:val="18"/>
                <w:szCs w:val="18"/>
                <w:lang w:val="ro-RO"/>
              </w:rPr>
              <w:t>3</w:t>
            </w:r>
            <w:r w:rsidRPr="00644D4E">
              <w:rPr>
                <w:rFonts w:ascii="Times New Roman" w:hAnsi="Times New Roman" w:cs="Times New Roman"/>
                <w:b/>
                <w:sz w:val="18"/>
                <w:szCs w:val="18"/>
                <w:lang w:val="ro-RO"/>
              </w:rPr>
              <w:t xml:space="preserve"> </w:t>
            </w:r>
          </w:p>
          <w:p w14:paraId="1CE34E72" w14:textId="77777777" w:rsidR="003E183A" w:rsidRPr="00644D4E" w:rsidRDefault="003E183A" w:rsidP="003E183A">
            <w:pPr>
              <w:spacing w:after="0" w:line="240" w:lineRule="auto"/>
              <w:jc w:val="center"/>
              <w:rPr>
                <w:rFonts w:ascii="Times New Roman" w:hAnsi="Times New Roman" w:cs="Times New Roman"/>
                <w:b/>
                <w:sz w:val="18"/>
                <w:szCs w:val="18"/>
                <w:lang w:val="ro-RO"/>
              </w:rPr>
            </w:pPr>
            <w:r w:rsidRPr="00644D4E">
              <w:rPr>
                <w:rFonts w:ascii="Times New Roman" w:hAnsi="Times New Roman" w:cs="Times New Roman"/>
                <w:sz w:val="12"/>
                <w:szCs w:val="12"/>
                <w:lang w:val="ro-RO"/>
              </w:rPr>
              <w:t>Locuri vacante</w:t>
            </w:r>
          </w:p>
        </w:tc>
        <w:tc>
          <w:tcPr>
            <w:tcW w:w="851" w:type="dxa"/>
            <w:shd w:val="clear" w:color="auto" w:fill="DBE5F1" w:themeFill="accent1" w:themeFillTint="33"/>
          </w:tcPr>
          <w:p w14:paraId="574536DE" w14:textId="77777777" w:rsidR="003E183A" w:rsidRPr="00644D4E" w:rsidRDefault="003E183A" w:rsidP="0064706E">
            <w:pPr>
              <w:spacing w:after="0" w:line="240" w:lineRule="auto"/>
              <w:jc w:val="center"/>
              <w:rPr>
                <w:rFonts w:ascii="Times New Roman" w:hAnsi="Times New Roman" w:cs="Times New Roman"/>
                <w:b/>
                <w:sz w:val="18"/>
                <w:szCs w:val="18"/>
                <w:lang w:val="ro-RO"/>
              </w:rPr>
            </w:pPr>
            <w:r w:rsidRPr="00644D4E">
              <w:rPr>
                <w:rFonts w:ascii="Times New Roman" w:hAnsi="Times New Roman" w:cs="Times New Roman"/>
                <w:b/>
                <w:sz w:val="18"/>
                <w:szCs w:val="18"/>
                <w:lang w:val="ro-RO"/>
              </w:rPr>
              <w:t>202</w:t>
            </w:r>
            <w:r w:rsidR="0064706E" w:rsidRPr="00644D4E">
              <w:rPr>
                <w:rFonts w:ascii="Times New Roman" w:hAnsi="Times New Roman" w:cs="Times New Roman"/>
                <w:b/>
                <w:sz w:val="18"/>
                <w:szCs w:val="18"/>
                <w:lang w:val="ro-RO"/>
              </w:rPr>
              <w:t>2</w:t>
            </w:r>
            <w:r w:rsidRPr="00644D4E">
              <w:rPr>
                <w:rFonts w:ascii="Times New Roman" w:hAnsi="Times New Roman" w:cs="Times New Roman"/>
                <w:b/>
                <w:sz w:val="18"/>
                <w:szCs w:val="18"/>
                <w:lang w:val="ro-RO"/>
              </w:rPr>
              <w:t xml:space="preserve"> </w:t>
            </w:r>
            <w:r w:rsidRPr="00644D4E">
              <w:rPr>
                <w:rFonts w:ascii="Times New Roman" w:hAnsi="Times New Roman" w:cs="Times New Roman"/>
                <w:sz w:val="12"/>
                <w:szCs w:val="12"/>
                <w:lang w:val="ro-RO"/>
              </w:rPr>
              <w:t>Șomeri</w:t>
            </w:r>
          </w:p>
        </w:tc>
        <w:tc>
          <w:tcPr>
            <w:tcW w:w="850" w:type="dxa"/>
            <w:shd w:val="clear" w:color="auto" w:fill="DBE5F1" w:themeFill="accent1" w:themeFillTint="33"/>
          </w:tcPr>
          <w:p w14:paraId="1556B91E" w14:textId="77777777" w:rsidR="003E183A" w:rsidRPr="00644D4E" w:rsidRDefault="003E183A" w:rsidP="003E183A">
            <w:pPr>
              <w:spacing w:after="0" w:line="240" w:lineRule="auto"/>
              <w:jc w:val="center"/>
              <w:rPr>
                <w:rFonts w:ascii="Times New Roman" w:hAnsi="Times New Roman" w:cs="Times New Roman"/>
                <w:b/>
                <w:sz w:val="18"/>
                <w:szCs w:val="18"/>
                <w:lang w:val="ro-RO"/>
              </w:rPr>
            </w:pPr>
            <w:r w:rsidRPr="00644D4E">
              <w:rPr>
                <w:rFonts w:ascii="Times New Roman" w:hAnsi="Times New Roman" w:cs="Times New Roman"/>
                <w:b/>
                <w:sz w:val="18"/>
                <w:szCs w:val="18"/>
                <w:lang w:val="ro-RO"/>
              </w:rPr>
              <w:t>202</w:t>
            </w:r>
            <w:r w:rsidR="0064706E" w:rsidRPr="00644D4E">
              <w:rPr>
                <w:rFonts w:ascii="Times New Roman" w:hAnsi="Times New Roman" w:cs="Times New Roman"/>
                <w:b/>
                <w:sz w:val="18"/>
                <w:szCs w:val="18"/>
                <w:lang w:val="ro-RO"/>
              </w:rPr>
              <w:t>3</w:t>
            </w:r>
          </w:p>
          <w:p w14:paraId="3B087EE7" w14:textId="77777777" w:rsidR="003E183A" w:rsidRPr="00644D4E" w:rsidRDefault="003E183A" w:rsidP="003E183A">
            <w:pPr>
              <w:spacing w:after="0" w:line="240" w:lineRule="auto"/>
              <w:jc w:val="center"/>
              <w:rPr>
                <w:rFonts w:ascii="Times New Roman" w:hAnsi="Times New Roman" w:cs="Times New Roman"/>
                <w:b/>
                <w:sz w:val="18"/>
                <w:szCs w:val="18"/>
                <w:lang w:val="ro-RO"/>
              </w:rPr>
            </w:pPr>
            <w:r w:rsidRPr="00644D4E">
              <w:rPr>
                <w:rFonts w:ascii="Times New Roman" w:hAnsi="Times New Roman" w:cs="Times New Roman"/>
                <w:sz w:val="12"/>
                <w:szCs w:val="12"/>
                <w:lang w:val="ro-RO"/>
              </w:rPr>
              <w:t>Șomeri</w:t>
            </w:r>
          </w:p>
        </w:tc>
      </w:tr>
      <w:tr w:rsidR="00644D4E" w:rsidRPr="00644D4E" w14:paraId="6AC16222" w14:textId="77777777" w:rsidTr="003E183A">
        <w:trPr>
          <w:jc w:val="center"/>
        </w:trPr>
        <w:tc>
          <w:tcPr>
            <w:tcW w:w="4395" w:type="dxa"/>
            <w:gridSpan w:val="2"/>
            <w:shd w:val="clear" w:color="auto" w:fill="DBE5F1" w:themeFill="accent1" w:themeFillTint="33"/>
          </w:tcPr>
          <w:p w14:paraId="26BD78EB" w14:textId="77777777" w:rsidR="003E183A" w:rsidRPr="00644D4E" w:rsidRDefault="003E183A" w:rsidP="00B341E3">
            <w:pPr>
              <w:spacing w:after="0" w:line="240" w:lineRule="auto"/>
              <w:rPr>
                <w:rFonts w:ascii="Times New Roman" w:hAnsi="Times New Roman" w:cs="Times New Roman"/>
                <w:b/>
                <w:sz w:val="18"/>
                <w:szCs w:val="18"/>
                <w:lang w:val="ro-RO"/>
              </w:rPr>
            </w:pPr>
            <w:r w:rsidRPr="00644D4E">
              <w:rPr>
                <w:rFonts w:ascii="Times New Roman" w:hAnsi="Times New Roman" w:cs="Times New Roman"/>
                <w:b/>
                <w:sz w:val="18"/>
                <w:szCs w:val="18"/>
                <w:lang w:val="ro-RO"/>
              </w:rPr>
              <w:t>Total, din care conform grupei majore (%):</w:t>
            </w:r>
          </w:p>
        </w:tc>
        <w:tc>
          <w:tcPr>
            <w:tcW w:w="992" w:type="dxa"/>
            <w:shd w:val="clear" w:color="auto" w:fill="EAF1DD" w:themeFill="accent3" w:themeFillTint="33"/>
          </w:tcPr>
          <w:p w14:paraId="4DD4A025" w14:textId="77777777" w:rsidR="003E183A" w:rsidRPr="00644D4E" w:rsidRDefault="0064706E" w:rsidP="00B341E3">
            <w:pPr>
              <w:spacing w:after="0" w:line="240" w:lineRule="auto"/>
              <w:jc w:val="center"/>
              <w:rPr>
                <w:rFonts w:ascii="Times New Roman" w:hAnsi="Times New Roman" w:cs="Times New Roman"/>
                <w:b/>
                <w:sz w:val="18"/>
                <w:szCs w:val="18"/>
                <w:lang w:val="ro-RO"/>
              </w:rPr>
            </w:pPr>
            <w:r w:rsidRPr="00644D4E">
              <w:rPr>
                <w:rFonts w:ascii="Times New Roman" w:hAnsi="Times New Roman" w:cs="Times New Roman"/>
                <w:b/>
                <w:sz w:val="18"/>
                <w:szCs w:val="18"/>
                <w:lang w:val="ro-RO"/>
              </w:rPr>
              <w:t>32108</w:t>
            </w:r>
          </w:p>
        </w:tc>
        <w:tc>
          <w:tcPr>
            <w:tcW w:w="977" w:type="dxa"/>
            <w:shd w:val="clear" w:color="auto" w:fill="EAF1DD" w:themeFill="accent3" w:themeFillTint="33"/>
          </w:tcPr>
          <w:p w14:paraId="71107DEF" w14:textId="77777777" w:rsidR="003E183A" w:rsidRPr="00644D4E" w:rsidRDefault="0064706E" w:rsidP="0023136C">
            <w:pPr>
              <w:spacing w:after="0" w:line="240" w:lineRule="auto"/>
              <w:jc w:val="center"/>
              <w:rPr>
                <w:rFonts w:ascii="Times New Roman" w:hAnsi="Times New Roman" w:cs="Times New Roman"/>
                <w:b/>
                <w:sz w:val="18"/>
                <w:szCs w:val="18"/>
                <w:lang w:val="ro-RO"/>
              </w:rPr>
            </w:pPr>
            <w:r w:rsidRPr="00644D4E">
              <w:rPr>
                <w:rFonts w:ascii="Times New Roman" w:hAnsi="Times New Roman" w:cs="Times New Roman"/>
                <w:b/>
                <w:sz w:val="18"/>
                <w:szCs w:val="18"/>
                <w:lang w:val="ro-RO"/>
              </w:rPr>
              <w:t>32217</w:t>
            </w:r>
          </w:p>
        </w:tc>
        <w:tc>
          <w:tcPr>
            <w:tcW w:w="851" w:type="dxa"/>
            <w:shd w:val="clear" w:color="auto" w:fill="EAF1DD" w:themeFill="accent3" w:themeFillTint="33"/>
          </w:tcPr>
          <w:p w14:paraId="20BC3981" w14:textId="77777777" w:rsidR="003E183A" w:rsidRPr="00644D4E" w:rsidRDefault="005218CE" w:rsidP="0064706E">
            <w:pPr>
              <w:spacing w:after="0" w:line="240" w:lineRule="auto"/>
              <w:jc w:val="center"/>
              <w:rPr>
                <w:rFonts w:ascii="Times New Roman" w:hAnsi="Times New Roman" w:cs="Times New Roman"/>
                <w:b/>
                <w:sz w:val="18"/>
                <w:szCs w:val="18"/>
                <w:lang w:val="ro-RO"/>
              </w:rPr>
            </w:pPr>
            <w:r w:rsidRPr="00644D4E">
              <w:rPr>
                <w:rFonts w:ascii="Times New Roman" w:hAnsi="Times New Roman" w:cs="Times New Roman"/>
                <w:b/>
                <w:sz w:val="18"/>
                <w:szCs w:val="18"/>
                <w:lang w:val="ro-RO"/>
              </w:rPr>
              <w:t>35003</w:t>
            </w:r>
          </w:p>
        </w:tc>
        <w:tc>
          <w:tcPr>
            <w:tcW w:w="850" w:type="dxa"/>
            <w:shd w:val="clear" w:color="auto" w:fill="EAF1DD" w:themeFill="accent3" w:themeFillTint="33"/>
          </w:tcPr>
          <w:p w14:paraId="6FF6D11E" w14:textId="77777777" w:rsidR="003E183A" w:rsidRPr="00644D4E" w:rsidRDefault="005218CE" w:rsidP="00B341E3">
            <w:pPr>
              <w:spacing w:after="0" w:line="240" w:lineRule="auto"/>
              <w:jc w:val="center"/>
              <w:rPr>
                <w:rFonts w:ascii="Times New Roman" w:hAnsi="Times New Roman" w:cs="Times New Roman"/>
                <w:b/>
                <w:sz w:val="18"/>
                <w:szCs w:val="18"/>
                <w:lang w:val="ro-RO"/>
              </w:rPr>
            </w:pPr>
            <w:r w:rsidRPr="00644D4E">
              <w:rPr>
                <w:rFonts w:ascii="Times New Roman" w:hAnsi="Times New Roman" w:cs="Times New Roman"/>
                <w:b/>
                <w:sz w:val="18"/>
                <w:szCs w:val="18"/>
                <w:lang w:val="ro-RO"/>
              </w:rPr>
              <w:t>26507</w:t>
            </w:r>
          </w:p>
        </w:tc>
      </w:tr>
      <w:tr w:rsidR="00644D4E" w:rsidRPr="00644D4E" w14:paraId="7A2EBB12" w14:textId="77777777" w:rsidTr="003E183A">
        <w:trPr>
          <w:jc w:val="center"/>
        </w:trPr>
        <w:tc>
          <w:tcPr>
            <w:tcW w:w="265" w:type="dxa"/>
            <w:shd w:val="clear" w:color="auto" w:fill="F2DBDB" w:themeFill="accent2" w:themeFillTint="33"/>
          </w:tcPr>
          <w:p w14:paraId="17DEA478" w14:textId="77777777" w:rsidR="003E183A" w:rsidRPr="00644D4E" w:rsidRDefault="003E183A" w:rsidP="003E183A">
            <w:pPr>
              <w:spacing w:after="0" w:line="240" w:lineRule="auto"/>
              <w:rPr>
                <w:rFonts w:ascii="Times New Roman" w:hAnsi="Times New Roman" w:cs="Times New Roman"/>
                <w:b/>
                <w:sz w:val="18"/>
                <w:szCs w:val="18"/>
                <w:lang w:val="ro-RO"/>
              </w:rPr>
            </w:pPr>
            <w:r w:rsidRPr="00644D4E">
              <w:rPr>
                <w:rFonts w:ascii="Times New Roman" w:hAnsi="Times New Roman" w:cs="Times New Roman"/>
                <w:b/>
                <w:sz w:val="18"/>
                <w:szCs w:val="18"/>
                <w:lang w:val="ro-RO"/>
              </w:rPr>
              <w:t>1</w:t>
            </w:r>
          </w:p>
        </w:tc>
        <w:tc>
          <w:tcPr>
            <w:tcW w:w="4130" w:type="dxa"/>
            <w:shd w:val="clear" w:color="auto" w:fill="F2DBDB" w:themeFill="accent2" w:themeFillTint="33"/>
          </w:tcPr>
          <w:p w14:paraId="53585B92" w14:textId="77777777" w:rsidR="003E183A" w:rsidRPr="00644D4E" w:rsidRDefault="003E183A" w:rsidP="003E183A">
            <w:pPr>
              <w:spacing w:after="0" w:line="240" w:lineRule="auto"/>
              <w:rPr>
                <w:rFonts w:ascii="Times New Roman" w:hAnsi="Times New Roman" w:cs="Times New Roman"/>
                <w:b/>
                <w:sz w:val="18"/>
                <w:szCs w:val="18"/>
                <w:lang w:val="ro-RO"/>
              </w:rPr>
            </w:pPr>
            <w:r w:rsidRPr="00644D4E">
              <w:rPr>
                <w:rFonts w:ascii="Times New Roman" w:eastAsia="Times New Roman" w:hAnsi="Times New Roman" w:cs="Times New Roman"/>
                <w:b/>
                <w:sz w:val="18"/>
                <w:szCs w:val="18"/>
                <w:lang w:val="ro-RO"/>
              </w:rPr>
              <w:t>Legislatori, funcționari și manageri</w:t>
            </w:r>
          </w:p>
        </w:tc>
        <w:tc>
          <w:tcPr>
            <w:tcW w:w="992" w:type="dxa"/>
            <w:shd w:val="clear" w:color="auto" w:fill="F2DBDB" w:themeFill="accent2" w:themeFillTint="33"/>
            <w:vAlign w:val="bottom"/>
          </w:tcPr>
          <w:p w14:paraId="7FBDD0EB" w14:textId="77777777" w:rsidR="003E183A" w:rsidRPr="00644D4E" w:rsidRDefault="0064706E" w:rsidP="003E183A">
            <w:pPr>
              <w:spacing w:after="0" w:line="240" w:lineRule="auto"/>
              <w:jc w:val="center"/>
              <w:rPr>
                <w:rFonts w:ascii="Times New Roman" w:hAnsi="Times New Roman" w:cs="Times New Roman"/>
                <w:sz w:val="18"/>
                <w:szCs w:val="18"/>
                <w:lang w:val="ro-RO"/>
              </w:rPr>
            </w:pPr>
            <w:r w:rsidRPr="00644D4E">
              <w:rPr>
                <w:rFonts w:ascii="Times New Roman" w:hAnsi="Times New Roman" w:cs="Times New Roman"/>
                <w:sz w:val="18"/>
                <w:szCs w:val="18"/>
                <w:lang w:val="ro-RO"/>
              </w:rPr>
              <w:t>1,7</w:t>
            </w:r>
          </w:p>
        </w:tc>
        <w:tc>
          <w:tcPr>
            <w:tcW w:w="977" w:type="dxa"/>
            <w:shd w:val="clear" w:color="auto" w:fill="F2DBDB" w:themeFill="accent2" w:themeFillTint="33"/>
            <w:vAlign w:val="bottom"/>
          </w:tcPr>
          <w:p w14:paraId="3004C241" w14:textId="77777777" w:rsidR="003E183A" w:rsidRPr="00644D4E" w:rsidRDefault="002511FC" w:rsidP="0064706E">
            <w:pPr>
              <w:spacing w:after="0" w:line="240" w:lineRule="auto"/>
              <w:jc w:val="center"/>
              <w:rPr>
                <w:rFonts w:ascii="Times New Roman" w:hAnsi="Times New Roman" w:cs="Times New Roman"/>
                <w:sz w:val="18"/>
                <w:szCs w:val="18"/>
                <w:lang w:val="ro-RO"/>
              </w:rPr>
            </w:pPr>
            <w:r w:rsidRPr="00644D4E">
              <w:rPr>
                <w:rFonts w:ascii="Times New Roman" w:hAnsi="Times New Roman" w:cs="Times New Roman"/>
                <w:sz w:val="18"/>
                <w:szCs w:val="18"/>
                <w:lang w:val="ro-RO"/>
              </w:rPr>
              <w:t>1,</w:t>
            </w:r>
            <w:r w:rsidR="0064706E" w:rsidRPr="00644D4E">
              <w:rPr>
                <w:rFonts w:ascii="Times New Roman" w:hAnsi="Times New Roman" w:cs="Times New Roman"/>
                <w:sz w:val="18"/>
                <w:szCs w:val="18"/>
                <w:lang w:val="ro-RO"/>
              </w:rPr>
              <w:t>8</w:t>
            </w:r>
          </w:p>
        </w:tc>
        <w:tc>
          <w:tcPr>
            <w:tcW w:w="851" w:type="dxa"/>
            <w:shd w:val="clear" w:color="auto" w:fill="F2DBDB" w:themeFill="accent2" w:themeFillTint="33"/>
          </w:tcPr>
          <w:p w14:paraId="419D0D42" w14:textId="77777777" w:rsidR="003E183A" w:rsidRPr="00644D4E" w:rsidRDefault="003E183A" w:rsidP="0064706E">
            <w:pPr>
              <w:spacing w:after="0" w:line="240" w:lineRule="auto"/>
              <w:jc w:val="center"/>
              <w:rPr>
                <w:rFonts w:ascii="Times New Roman" w:hAnsi="Times New Roman" w:cs="Times New Roman"/>
                <w:sz w:val="18"/>
                <w:szCs w:val="18"/>
                <w:lang w:val="ro-RO"/>
              </w:rPr>
            </w:pPr>
            <w:r w:rsidRPr="00644D4E">
              <w:rPr>
                <w:rFonts w:ascii="Times New Roman" w:hAnsi="Times New Roman" w:cs="Times New Roman"/>
                <w:sz w:val="18"/>
                <w:szCs w:val="18"/>
                <w:lang w:val="ro-RO"/>
              </w:rPr>
              <w:t>1,</w:t>
            </w:r>
            <w:r w:rsidR="0064706E" w:rsidRPr="00644D4E">
              <w:rPr>
                <w:rFonts w:ascii="Times New Roman" w:hAnsi="Times New Roman" w:cs="Times New Roman"/>
                <w:sz w:val="18"/>
                <w:szCs w:val="18"/>
                <w:lang w:val="ro-RO"/>
              </w:rPr>
              <w:t>2</w:t>
            </w:r>
          </w:p>
        </w:tc>
        <w:tc>
          <w:tcPr>
            <w:tcW w:w="850" w:type="dxa"/>
            <w:shd w:val="clear" w:color="auto" w:fill="F2DBDB" w:themeFill="accent2" w:themeFillTint="33"/>
          </w:tcPr>
          <w:p w14:paraId="4112680E" w14:textId="77777777" w:rsidR="003E183A" w:rsidRPr="00644D4E" w:rsidRDefault="004C76EA" w:rsidP="003E183A">
            <w:pPr>
              <w:spacing w:after="0" w:line="240" w:lineRule="auto"/>
              <w:jc w:val="center"/>
              <w:rPr>
                <w:rFonts w:ascii="Times New Roman" w:hAnsi="Times New Roman" w:cs="Times New Roman"/>
                <w:sz w:val="18"/>
                <w:szCs w:val="18"/>
                <w:lang w:val="ro-RO"/>
              </w:rPr>
            </w:pPr>
            <w:r w:rsidRPr="00644D4E">
              <w:rPr>
                <w:rFonts w:ascii="Times New Roman" w:hAnsi="Times New Roman" w:cs="Times New Roman"/>
                <w:sz w:val="18"/>
                <w:szCs w:val="18"/>
                <w:lang w:val="ro-RO"/>
              </w:rPr>
              <w:t>1,5</w:t>
            </w:r>
          </w:p>
        </w:tc>
      </w:tr>
      <w:tr w:rsidR="00644D4E" w:rsidRPr="00644D4E" w14:paraId="3041AAD8" w14:textId="77777777" w:rsidTr="003E183A">
        <w:trPr>
          <w:jc w:val="center"/>
        </w:trPr>
        <w:tc>
          <w:tcPr>
            <w:tcW w:w="265" w:type="dxa"/>
            <w:shd w:val="clear" w:color="auto" w:fill="EAF1DD" w:themeFill="accent3" w:themeFillTint="33"/>
          </w:tcPr>
          <w:p w14:paraId="6DCBA782" w14:textId="77777777" w:rsidR="003E183A" w:rsidRPr="00644D4E" w:rsidRDefault="003E183A" w:rsidP="003E183A">
            <w:pPr>
              <w:spacing w:after="0" w:line="240" w:lineRule="auto"/>
              <w:rPr>
                <w:rFonts w:ascii="Times New Roman" w:hAnsi="Times New Roman" w:cs="Times New Roman"/>
                <w:b/>
                <w:sz w:val="18"/>
                <w:szCs w:val="18"/>
                <w:lang w:val="ro-RO"/>
              </w:rPr>
            </w:pPr>
            <w:r w:rsidRPr="00644D4E">
              <w:rPr>
                <w:rFonts w:ascii="Times New Roman" w:hAnsi="Times New Roman" w:cs="Times New Roman"/>
                <w:b/>
                <w:sz w:val="18"/>
                <w:szCs w:val="18"/>
                <w:lang w:val="ro-RO"/>
              </w:rPr>
              <w:t>2</w:t>
            </w:r>
          </w:p>
        </w:tc>
        <w:tc>
          <w:tcPr>
            <w:tcW w:w="4130" w:type="dxa"/>
            <w:shd w:val="clear" w:color="auto" w:fill="EAF1DD" w:themeFill="accent3" w:themeFillTint="33"/>
          </w:tcPr>
          <w:p w14:paraId="38E61DBD" w14:textId="77777777" w:rsidR="003E183A" w:rsidRPr="00644D4E" w:rsidRDefault="003E183A" w:rsidP="003E183A">
            <w:pPr>
              <w:spacing w:after="0" w:line="240" w:lineRule="auto"/>
              <w:rPr>
                <w:rFonts w:ascii="Times New Roman" w:hAnsi="Times New Roman" w:cs="Times New Roman"/>
                <w:b/>
                <w:sz w:val="18"/>
                <w:szCs w:val="18"/>
                <w:lang w:val="ro-RO"/>
              </w:rPr>
            </w:pPr>
            <w:r w:rsidRPr="00644D4E">
              <w:rPr>
                <w:rFonts w:ascii="Times New Roman" w:hAnsi="Times New Roman" w:cs="Times New Roman"/>
                <w:b/>
                <w:sz w:val="18"/>
                <w:szCs w:val="18"/>
                <w:lang w:val="ro-RO"/>
              </w:rPr>
              <w:t>Specialiști în diverse domenii de activitate</w:t>
            </w:r>
          </w:p>
        </w:tc>
        <w:tc>
          <w:tcPr>
            <w:tcW w:w="992" w:type="dxa"/>
            <w:shd w:val="clear" w:color="auto" w:fill="EAF1DD" w:themeFill="accent3" w:themeFillTint="33"/>
            <w:vAlign w:val="bottom"/>
          </w:tcPr>
          <w:p w14:paraId="6F0FAAB5" w14:textId="77777777" w:rsidR="003E183A" w:rsidRPr="00644D4E" w:rsidRDefault="003E183A" w:rsidP="0064706E">
            <w:pPr>
              <w:spacing w:after="0" w:line="240" w:lineRule="auto"/>
              <w:jc w:val="center"/>
              <w:rPr>
                <w:rFonts w:ascii="Times New Roman" w:hAnsi="Times New Roman" w:cs="Times New Roman"/>
                <w:sz w:val="18"/>
                <w:szCs w:val="18"/>
                <w:lang w:val="ro-RO"/>
              </w:rPr>
            </w:pPr>
            <w:r w:rsidRPr="00644D4E">
              <w:rPr>
                <w:rFonts w:ascii="Times New Roman" w:hAnsi="Times New Roman" w:cs="Times New Roman"/>
                <w:sz w:val="18"/>
                <w:szCs w:val="18"/>
                <w:lang w:val="ro-RO"/>
              </w:rPr>
              <w:t>7,</w:t>
            </w:r>
            <w:r w:rsidR="0064706E" w:rsidRPr="00644D4E">
              <w:rPr>
                <w:rFonts w:ascii="Times New Roman" w:hAnsi="Times New Roman" w:cs="Times New Roman"/>
                <w:sz w:val="18"/>
                <w:szCs w:val="18"/>
                <w:lang w:val="ro-RO"/>
              </w:rPr>
              <w:t>6</w:t>
            </w:r>
          </w:p>
        </w:tc>
        <w:tc>
          <w:tcPr>
            <w:tcW w:w="977" w:type="dxa"/>
            <w:shd w:val="clear" w:color="auto" w:fill="EAF1DD" w:themeFill="accent3" w:themeFillTint="33"/>
            <w:vAlign w:val="bottom"/>
          </w:tcPr>
          <w:p w14:paraId="4714D3CB" w14:textId="77777777" w:rsidR="003E183A" w:rsidRPr="00644D4E" w:rsidRDefault="0064706E" w:rsidP="003E183A">
            <w:pPr>
              <w:spacing w:after="0" w:line="240" w:lineRule="auto"/>
              <w:jc w:val="center"/>
              <w:rPr>
                <w:rFonts w:ascii="Times New Roman" w:hAnsi="Times New Roman" w:cs="Times New Roman"/>
                <w:sz w:val="18"/>
                <w:szCs w:val="18"/>
                <w:lang w:val="ro-RO"/>
              </w:rPr>
            </w:pPr>
            <w:r w:rsidRPr="00644D4E">
              <w:rPr>
                <w:rFonts w:ascii="Times New Roman" w:hAnsi="Times New Roman" w:cs="Times New Roman"/>
                <w:sz w:val="18"/>
                <w:szCs w:val="18"/>
                <w:lang w:val="ro-RO"/>
              </w:rPr>
              <w:t>8,4</w:t>
            </w:r>
          </w:p>
        </w:tc>
        <w:tc>
          <w:tcPr>
            <w:tcW w:w="851" w:type="dxa"/>
            <w:shd w:val="clear" w:color="auto" w:fill="EAF1DD" w:themeFill="accent3" w:themeFillTint="33"/>
          </w:tcPr>
          <w:p w14:paraId="050DFE46" w14:textId="77777777" w:rsidR="003E183A" w:rsidRPr="00644D4E" w:rsidRDefault="003E183A" w:rsidP="0064706E">
            <w:pPr>
              <w:spacing w:after="0" w:line="240" w:lineRule="auto"/>
              <w:jc w:val="center"/>
              <w:rPr>
                <w:rFonts w:ascii="Times New Roman" w:hAnsi="Times New Roman" w:cs="Times New Roman"/>
                <w:sz w:val="18"/>
                <w:szCs w:val="18"/>
                <w:lang w:val="ro-RO"/>
              </w:rPr>
            </w:pPr>
            <w:r w:rsidRPr="00644D4E">
              <w:rPr>
                <w:rFonts w:ascii="Times New Roman" w:hAnsi="Times New Roman" w:cs="Times New Roman"/>
                <w:sz w:val="18"/>
                <w:szCs w:val="18"/>
                <w:lang w:val="ro-RO"/>
              </w:rPr>
              <w:t>5,</w:t>
            </w:r>
            <w:r w:rsidR="0064706E" w:rsidRPr="00644D4E">
              <w:rPr>
                <w:rFonts w:ascii="Times New Roman" w:hAnsi="Times New Roman" w:cs="Times New Roman"/>
                <w:sz w:val="18"/>
                <w:szCs w:val="18"/>
                <w:lang w:val="ro-RO"/>
              </w:rPr>
              <w:t>5</w:t>
            </w:r>
          </w:p>
        </w:tc>
        <w:tc>
          <w:tcPr>
            <w:tcW w:w="850" w:type="dxa"/>
            <w:shd w:val="clear" w:color="auto" w:fill="EAF1DD" w:themeFill="accent3" w:themeFillTint="33"/>
          </w:tcPr>
          <w:p w14:paraId="04E069A6" w14:textId="77777777" w:rsidR="003E183A" w:rsidRPr="00644D4E" w:rsidRDefault="004C76EA" w:rsidP="003E183A">
            <w:pPr>
              <w:spacing w:after="0" w:line="240" w:lineRule="auto"/>
              <w:jc w:val="center"/>
              <w:rPr>
                <w:rFonts w:ascii="Times New Roman" w:hAnsi="Times New Roman" w:cs="Times New Roman"/>
                <w:sz w:val="18"/>
                <w:szCs w:val="18"/>
                <w:lang w:val="ro-RO"/>
              </w:rPr>
            </w:pPr>
            <w:r w:rsidRPr="00644D4E">
              <w:rPr>
                <w:rFonts w:ascii="Times New Roman" w:hAnsi="Times New Roman" w:cs="Times New Roman"/>
                <w:sz w:val="18"/>
                <w:szCs w:val="18"/>
                <w:lang w:val="ro-RO"/>
              </w:rPr>
              <w:t>5,9</w:t>
            </w:r>
          </w:p>
        </w:tc>
      </w:tr>
      <w:tr w:rsidR="00644D4E" w:rsidRPr="00644D4E" w14:paraId="3D7221AC" w14:textId="77777777" w:rsidTr="003E183A">
        <w:trPr>
          <w:jc w:val="center"/>
        </w:trPr>
        <w:tc>
          <w:tcPr>
            <w:tcW w:w="265" w:type="dxa"/>
            <w:shd w:val="clear" w:color="auto" w:fill="F2DBDB" w:themeFill="accent2" w:themeFillTint="33"/>
          </w:tcPr>
          <w:p w14:paraId="6243FA62" w14:textId="77777777" w:rsidR="003E183A" w:rsidRPr="00644D4E" w:rsidRDefault="003E183A" w:rsidP="003E183A">
            <w:pPr>
              <w:spacing w:after="0" w:line="240" w:lineRule="auto"/>
              <w:rPr>
                <w:rFonts w:ascii="Times New Roman" w:hAnsi="Times New Roman" w:cs="Times New Roman"/>
                <w:b/>
                <w:sz w:val="18"/>
                <w:szCs w:val="18"/>
                <w:lang w:val="ro-RO"/>
              </w:rPr>
            </w:pPr>
            <w:r w:rsidRPr="00644D4E">
              <w:rPr>
                <w:rFonts w:ascii="Times New Roman" w:hAnsi="Times New Roman" w:cs="Times New Roman"/>
                <w:b/>
                <w:sz w:val="18"/>
                <w:szCs w:val="18"/>
                <w:lang w:val="ro-RO"/>
              </w:rPr>
              <w:t>3</w:t>
            </w:r>
          </w:p>
        </w:tc>
        <w:tc>
          <w:tcPr>
            <w:tcW w:w="4130" w:type="dxa"/>
            <w:shd w:val="clear" w:color="auto" w:fill="F2DBDB" w:themeFill="accent2" w:themeFillTint="33"/>
          </w:tcPr>
          <w:p w14:paraId="64E95A3D" w14:textId="77777777" w:rsidR="003E183A" w:rsidRPr="00644D4E" w:rsidRDefault="003E183A" w:rsidP="003E183A">
            <w:pPr>
              <w:spacing w:after="0" w:line="240" w:lineRule="auto"/>
              <w:rPr>
                <w:rFonts w:ascii="Times New Roman" w:hAnsi="Times New Roman" w:cs="Times New Roman"/>
                <w:b/>
                <w:sz w:val="18"/>
                <w:szCs w:val="18"/>
                <w:lang w:val="ro-RO"/>
              </w:rPr>
            </w:pPr>
            <w:r w:rsidRPr="00644D4E">
              <w:rPr>
                <w:rFonts w:ascii="Times New Roman" w:hAnsi="Times New Roman" w:cs="Times New Roman"/>
                <w:b/>
                <w:sz w:val="18"/>
                <w:szCs w:val="18"/>
                <w:lang w:val="ro-RO"/>
              </w:rPr>
              <w:t>Tehnicieni și alți specialiști cu nivel mediu de calificare</w:t>
            </w:r>
          </w:p>
        </w:tc>
        <w:tc>
          <w:tcPr>
            <w:tcW w:w="992" w:type="dxa"/>
            <w:shd w:val="clear" w:color="auto" w:fill="F2DBDB" w:themeFill="accent2" w:themeFillTint="33"/>
            <w:vAlign w:val="bottom"/>
          </w:tcPr>
          <w:p w14:paraId="6737D1CA" w14:textId="77777777" w:rsidR="003E183A" w:rsidRPr="00644D4E" w:rsidRDefault="0064706E" w:rsidP="003E183A">
            <w:pPr>
              <w:spacing w:after="0" w:line="240" w:lineRule="auto"/>
              <w:jc w:val="center"/>
              <w:rPr>
                <w:rFonts w:ascii="Times New Roman" w:hAnsi="Times New Roman" w:cs="Times New Roman"/>
                <w:sz w:val="18"/>
                <w:szCs w:val="18"/>
                <w:lang w:val="ro-RO"/>
              </w:rPr>
            </w:pPr>
            <w:r w:rsidRPr="00644D4E">
              <w:rPr>
                <w:rFonts w:ascii="Times New Roman" w:hAnsi="Times New Roman" w:cs="Times New Roman"/>
                <w:sz w:val="18"/>
                <w:szCs w:val="18"/>
                <w:lang w:val="ro-RO"/>
              </w:rPr>
              <w:t>6,7</w:t>
            </w:r>
          </w:p>
        </w:tc>
        <w:tc>
          <w:tcPr>
            <w:tcW w:w="977" w:type="dxa"/>
            <w:shd w:val="clear" w:color="auto" w:fill="F2DBDB" w:themeFill="accent2" w:themeFillTint="33"/>
          </w:tcPr>
          <w:p w14:paraId="63782758" w14:textId="77777777" w:rsidR="003E183A" w:rsidRPr="00644D4E" w:rsidRDefault="003E183A" w:rsidP="003E183A">
            <w:pPr>
              <w:spacing w:after="0" w:line="240" w:lineRule="auto"/>
              <w:jc w:val="center"/>
              <w:rPr>
                <w:rFonts w:ascii="Times New Roman" w:hAnsi="Times New Roman" w:cs="Times New Roman"/>
                <w:sz w:val="18"/>
                <w:szCs w:val="18"/>
                <w:lang w:val="ro-RO"/>
              </w:rPr>
            </w:pPr>
          </w:p>
          <w:p w14:paraId="138A4991" w14:textId="77777777" w:rsidR="003E183A" w:rsidRPr="00644D4E" w:rsidRDefault="0064706E" w:rsidP="003E183A">
            <w:pPr>
              <w:spacing w:after="0" w:line="240" w:lineRule="auto"/>
              <w:jc w:val="center"/>
              <w:rPr>
                <w:rFonts w:ascii="Times New Roman" w:hAnsi="Times New Roman" w:cs="Times New Roman"/>
                <w:sz w:val="18"/>
                <w:szCs w:val="18"/>
                <w:lang w:val="ro-RO"/>
              </w:rPr>
            </w:pPr>
            <w:r w:rsidRPr="00644D4E">
              <w:rPr>
                <w:rFonts w:ascii="Times New Roman" w:hAnsi="Times New Roman" w:cs="Times New Roman"/>
                <w:sz w:val="18"/>
                <w:szCs w:val="18"/>
                <w:lang w:val="ro-RO"/>
              </w:rPr>
              <w:t>7,1</w:t>
            </w:r>
          </w:p>
        </w:tc>
        <w:tc>
          <w:tcPr>
            <w:tcW w:w="851" w:type="dxa"/>
            <w:shd w:val="clear" w:color="auto" w:fill="F2DBDB" w:themeFill="accent2" w:themeFillTint="33"/>
          </w:tcPr>
          <w:p w14:paraId="3B34F70C" w14:textId="77777777" w:rsidR="003E183A" w:rsidRPr="00644D4E" w:rsidRDefault="003E183A" w:rsidP="003E183A">
            <w:pPr>
              <w:spacing w:after="0" w:line="240" w:lineRule="auto"/>
              <w:jc w:val="center"/>
              <w:rPr>
                <w:rFonts w:ascii="Times New Roman" w:hAnsi="Times New Roman" w:cs="Times New Roman"/>
                <w:sz w:val="18"/>
                <w:szCs w:val="18"/>
                <w:lang w:val="ro-RO"/>
              </w:rPr>
            </w:pPr>
          </w:p>
          <w:p w14:paraId="79F66A1D" w14:textId="77777777" w:rsidR="003E183A" w:rsidRPr="00644D4E" w:rsidRDefault="003E183A" w:rsidP="0064706E">
            <w:pPr>
              <w:spacing w:after="0" w:line="240" w:lineRule="auto"/>
              <w:jc w:val="center"/>
              <w:rPr>
                <w:rFonts w:ascii="Times New Roman" w:hAnsi="Times New Roman" w:cs="Times New Roman"/>
                <w:sz w:val="18"/>
                <w:szCs w:val="18"/>
                <w:lang w:val="ro-RO"/>
              </w:rPr>
            </w:pPr>
            <w:r w:rsidRPr="00644D4E">
              <w:rPr>
                <w:rFonts w:ascii="Times New Roman" w:hAnsi="Times New Roman" w:cs="Times New Roman"/>
                <w:sz w:val="18"/>
                <w:szCs w:val="18"/>
                <w:lang w:val="ro-RO"/>
              </w:rPr>
              <w:t>3,</w:t>
            </w:r>
            <w:r w:rsidR="0064706E" w:rsidRPr="00644D4E">
              <w:rPr>
                <w:rFonts w:ascii="Times New Roman" w:hAnsi="Times New Roman" w:cs="Times New Roman"/>
                <w:sz w:val="18"/>
                <w:szCs w:val="18"/>
                <w:lang w:val="ro-RO"/>
              </w:rPr>
              <w:t>5</w:t>
            </w:r>
          </w:p>
        </w:tc>
        <w:tc>
          <w:tcPr>
            <w:tcW w:w="850" w:type="dxa"/>
            <w:shd w:val="clear" w:color="auto" w:fill="F2DBDB" w:themeFill="accent2" w:themeFillTint="33"/>
          </w:tcPr>
          <w:p w14:paraId="7D51C3CE" w14:textId="77777777" w:rsidR="00D4472D" w:rsidRPr="00644D4E" w:rsidRDefault="00D4472D" w:rsidP="00C92179">
            <w:pPr>
              <w:spacing w:after="0" w:line="240" w:lineRule="auto"/>
              <w:jc w:val="center"/>
              <w:rPr>
                <w:rFonts w:ascii="Times New Roman" w:hAnsi="Times New Roman" w:cs="Times New Roman"/>
                <w:sz w:val="18"/>
                <w:szCs w:val="18"/>
                <w:lang w:val="ro-RO"/>
              </w:rPr>
            </w:pPr>
          </w:p>
          <w:p w14:paraId="44D1BDFB" w14:textId="77777777" w:rsidR="003E183A" w:rsidRPr="00644D4E" w:rsidRDefault="004C76EA" w:rsidP="00C92179">
            <w:pPr>
              <w:spacing w:after="0" w:line="240" w:lineRule="auto"/>
              <w:jc w:val="center"/>
              <w:rPr>
                <w:rFonts w:ascii="Times New Roman" w:hAnsi="Times New Roman" w:cs="Times New Roman"/>
                <w:sz w:val="18"/>
                <w:szCs w:val="18"/>
                <w:lang w:val="ro-RO"/>
              </w:rPr>
            </w:pPr>
            <w:r w:rsidRPr="00644D4E">
              <w:rPr>
                <w:rFonts w:ascii="Times New Roman" w:hAnsi="Times New Roman" w:cs="Times New Roman"/>
                <w:sz w:val="18"/>
                <w:szCs w:val="18"/>
                <w:lang w:val="ro-RO"/>
              </w:rPr>
              <w:t>3,8</w:t>
            </w:r>
          </w:p>
        </w:tc>
      </w:tr>
      <w:tr w:rsidR="00644D4E" w:rsidRPr="00644D4E" w14:paraId="08878436" w14:textId="77777777" w:rsidTr="003E183A">
        <w:trPr>
          <w:jc w:val="center"/>
        </w:trPr>
        <w:tc>
          <w:tcPr>
            <w:tcW w:w="265" w:type="dxa"/>
            <w:shd w:val="clear" w:color="auto" w:fill="F2DBDB" w:themeFill="accent2" w:themeFillTint="33"/>
          </w:tcPr>
          <w:p w14:paraId="5E829501" w14:textId="77777777" w:rsidR="003E183A" w:rsidRPr="00644D4E" w:rsidRDefault="003E183A" w:rsidP="003E183A">
            <w:pPr>
              <w:spacing w:after="0" w:line="240" w:lineRule="auto"/>
              <w:rPr>
                <w:rFonts w:ascii="Times New Roman" w:hAnsi="Times New Roman" w:cs="Times New Roman"/>
                <w:b/>
                <w:sz w:val="18"/>
                <w:szCs w:val="18"/>
                <w:lang w:val="ro-RO"/>
              </w:rPr>
            </w:pPr>
            <w:r w:rsidRPr="00644D4E">
              <w:rPr>
                <w:rFonts w:ascii="Times New Roman" w:hAnsi="Times New Roman" w:cs="Times New Roman"/>
                <w:b/>
                <w:sz w:val="18"/>
                <w:szCs w:val="18"/>
                <w:lang w:val="ro-RO"/>
              </w:rPr>
              <w:t>4</w:t>
            </w:r>
          </w:p>
        </w:tc>
        <w:tc>
          <w:tcPr>
            <w:tcW w:w="4130" w:type="dxa"/>
            <w:shd w:val="clear" w:color="auto" w:fill="F2DBDB" w:themeFill="accent2" w:themeFillTint="33"/>
          </w:tcPr>
          <w:p w14:paraId="529B392E" w14:textId="77777777" w:rsidR="003E183A" w:rsidRPr="00644D4E" w:rsidRDefault="003E183A" w:rsidP="003E183A">
            <w:pPr>
              <w:spacing w:after="0" w:line="240" w:lineRule="auto"/>
              <w:rPr>
                <w:rFonts w:ascii="Times New Roman" w:hAnsi="Times New Roman" w:cs="Times New Roman"/>
                <w:b/>
                <w:sz w:val="18"/>
                <w:szCs w:val="18"/>
                <w:lang w:val="ro-RO"/>
              </w:rPr>
            </w:pPr>
            <w:r w:rsidRPr="00644D4E">
              <w:rPr>
                <w:rFonts w:ascii="Times New Roman" w:hAnsi="Times New Roman" w:cs="Times New Roman"/>
                <w:b/>
                <w:sz w:val="18"/>
                <w:szCs w:val="18"/>
                <w:lang w:val="ro-RO"/>
              </w:rPr>
              <w:t>Funcționari  administrativi</w:t>
            </w:r>
          </w:p>
        </w:tc>
        <w:tc>
          <w:tcPr>
            <w:tcW w:w="992" w:type="dxa"/>
            <w:shd w:val="clear" w:color="auto" w:fill="F2DBDB" w:themeFill="accent2" w:themeFillTint="33"/>
            <w:vAlign w:val="bottom"/>
          </w:tcPr>
          <w:p w14:paraId="27ED702E" w14:textId="77777777" w:rsidR="003E183A" w:rsidRPr="00644D4E" w:rsidRDefault="0064706E" w:rsidP="003E183A">
            <w:pPr>
              <w:spacing w:after="0" w:line="240" w:lineRule="auto"/>
              <w:jc w:val="center"/>
              <w:rPr>
                <w:rFonts w:ascii="Times New Roman" w:hAnsi="Times New Roman" w:cs="Times New Roman"/>
                <w:sz w:val="18"/>
                <w:szCs w:val="18"/>
                <w:lang w:val="ro-RO"/>
              </w:rPr>
            </w:pPr>
            <w:r w:rsidRPr="00644D4E">
              <w:rPr>
                <w:rFonts w:ascii="Times New Roman" w:hAnsi="Times New Roman" w:cs="Times New Roman"/>
                <w:sz w:val="18"/>
                <w:szCs w:val="18"/>
                <w:lang w:val="ro-RO"/>
              </w:rPr>
              <w:t>3,3</w:t>
            </w:r>
          </w:p>
        </w:tc>
        <w:tc>
          <w:tcPr>
            <w:tcW w:w="977" w:type="dxa"/>
            <w:shd w:val="clear" w:color="auto" w:fill="F2DBDB" w:themeFill="accent2" w:themeFillTint="33"/>
            <w:vAlign w:val="bottom"/>
          </w:tcPr>
          <w:p w14:paraId="5AF55FB6" w14:textId="77777777" w:rsidR="003E183A" w:rsidRPr="00644D4E" w:rsidRDefault="002511FC" w:rsidP="003E183A">
            <w:pPr>
              <w:spacing w:after="0" w:line="240" w:lineRule="auto"/>
              <w:jc w:val="center"/>
              <w:rPr>
                <w:rFonts w:ascii="Times New Roman" w:hAnsi="Times New Roman" w:cs="Times New Roman"/>
                <w:sz w:val="18"/>
                <w:szCs w:val="18"/>
                <w:lang w:val="ro-RO"/>
              </w:rPr>
            </w:pPr>
            <w:r w:rsidRPr="00644D4E">
              <w:rPr>
                <w:rFonts w:ascii="Times New Roman" w:hAnsi="Times New Roman" w:cs="Times New Roman"/>
                <w:sz w:val="18"/>
                <w:szCs w:val="18"/>
                <w:lang w:val="ro-RO"/>
              </w:rPr>
              <w:t>3,3</w:t>
            </w:r>
          </w:p>
        </w:tc>
        <w:tc>
          <w:tcPr>
            <w:tcW w:w="851" w:type="dxa"/>
            <w:shd w:val="clear" w:color="auto" w:fill="F2DBDB" w:themeFill="accent2" w:themeFillTint="33"/>
          </w:tcPr>
          <w:p w14:paraId="1265C281" w14:textId="77777777" w:rsidR="003E183A" w:rsidRPr="00644D4E" w:rsidRDefault="003E183A" w:rsidP="0064706E">
            <w:pPr>
              <w:spacing w:after="0" w:line="240" w:lineRule="auto"/>
              <w:jc w:val="center"/>
              <w:rPr>
                <w:rFonts w:ascii="Times New Roman" w:hAnsi="Times New Roman" w:cs="Times New Roman"/>
                <w:sz w:val="18"/>
                <w:szCs w:val="18"/>
                <w:lang w:val="ro-RO"/>
              </w:rPr>
            </w:pPr>
            <w:r w:rsidRPr="00644D4E">
              <w:rPr>
                <w:rFonts w:ascii="Times New Roman" w:hAnsi="Times New Roman" w:cs="Times New Roman"/>
                <w:sz w:val="18"/>
                <w:szCs w:val="18"/>
                <w:lang w:val="ro-RO"/>
              </w:rPr>
              <w:t>1,</w:t>
            </w:r>
            <w:r w:rsidR="0064706E" w:rsidRPr="00644D4E">
              <w:rPr>
                <w:rFonts w:ascii="Times New Roman" w:hAnsi="Times New Roman" w:cs="Times New Roman"/>
                <w:sz w:val="18"/>
                <w:szCs w:val="18"/>
                <w:lang w:val="ro-RO"/>
              </w:rPr>
              <w:t>6</w:t>
            </w:r>
          </w:p>
        </w:tc>
        <w:tc>
          <w:tcPr>
            <w:tcW w:w="850" w:type="dxa"/>
            <w:shd w:val="clear" w:color="auto" w:fill="F2DBDB" w:themeFill="accent2" w:themeFillTint="33"/>
          </w:tcPr>
          <w:p w14:paraId="64E38C3A" w14:textId="77777777" w:rsidR="003E183A" w:rsidRPr="00644D4E" w:rsidRDefault="004C76EA" w:rsidP="00C92179">
            <w:pPr>
              <w:spacing w:after="0" w:line="240" w:lineRule="auto"/>
              <w:jc w:val="center"/>
              <w:rPr>
                <w:rFonts w:ascii="Times New Roman" w:hAnsi="Times New Roman" w:cs="Times New Roman"/>
                <w:sz w:val="18"/>
                <w:szCs w:val="18"/>
                <w:lang w:val="ro-RO"/>
              </w:rPr>
            </w:pPr>
            <w:r w:rsidRPr="00644D4E">
              <w:rPr>
                <w:rFonts w:ascii="Times New Roman" w:hAnsi="Times New Roman" w:cs="Times New Roman"/>
                <w:sz w:val="18"/>
                <w:szCs w:val="18"/>
                <w:lang w:val="ro-RO"/>
              </w:rPr>
              <w:t>1,8</w:t>
            </w:r>
          </w:p>
        </w:tc>
      </w:tr>
      <w:tr w:rsidR="00644D4E" w:rsidRPr="00644D4E" w14:paraId="403EA274" w14:textId="77777777" w:rsidTr="003E183A">
        <w:trPr>
          <w:jc w:val="center"/>
        </w:trPr>
        <w:tc>
          <w:tcPr>
            <w:tcW w:w="265" w:type="dxa"/>
            <w:shd w:val="clear" w:color="auto" w:fill="F2DBDB" w:themeFill="accent2" w:themeFillTint="33"/>
          </w:tcPr>
          <w:p w14:paraId="51E7B7C0" w14:textId="77777777" w:rsidR="003E183A" w:rsidRPr="00644D4E" w:rsidRDefault="003E183A" w:rsidP="003E183A">
            <w:pPr>
              <w:spacing w:after="0" w:line="240" w:lineRule="auto"/>
              <w:rPr>
                <w:rFonts w:ascii="Times New Roman" w:hAnsi="Times New Roman" w:cs="Times New Roman"/>
                <w:b/>
                <w:sz w:val="18"/>
                <w:szCs w:val="18"/>
                <w:lang w:val="ro-RO"/>
              </w:rPr>
            </w:pPr>
            <w:r w:rsidRPr="00644D4E">
              <w:rPr>
                <w:rFonts w:ascii="Times New Roman" w:hAnsi="Times New Roman" w:cs="Times New Roman"/>
                <w:b/>
                <w:sz w:val="18"/>
                <w:szCs w:val="18"/>
                <w:lang w:val="ro-RO"/>
              </w:rPr>
              <w:t>5</w:t>
            </w:r>
          </w:p>
        </w:tc>
        <w:tc>
          <w:tcPr>
            <w:tcW w:w="4130" w:type="dxa"/>
            <w:shd w:val="clear" w:color="auto" w:fill="F2DBDB" w:themeFill="accent2" w:themeFillTint="33"/>
          </w:tcPr>
          <w:p w14:paraId="41811A11" w14:textId="77777777" w:rsidR="003E183A" w:rsidRPr="00644D4E" w:rsidRDefault="003E183A" w:rsidP="003E183A">
            <w:pPr>
              <w:spacing w:after="0" w:line="240" w:lineRule="auto"/>
              <w:rPr>
                <w:rFonts w:ascii="Times New Roman" w:hAnsi="Times New Roman" w:cs="Times New Roman"/>
                <w:b/>
                <w:sz w:val="18"/>
                <w:szCs w:val="18"/>
                <w:lang w:val="ro-RO"/>
              </w:rPr>
            </w:pPr>
            <w:r w:rsidRPr="00644D4E">
              <w:rPr>
                <w:rFonts w:ascii="Times New Roman" w:hAnsi="Times New Roman" w:cs="Times New Roman"/>
                <w:b/>
                <w:sz w:val="18"/>
                <w:szCs w:val="18"/>
                <w:lang w:val="ro-RO"/>
              </w:rPr>
              <w:t>Lucrători în domeniul serviciilor și comerț</w:t>
            </w:r>
          </w:p>
        </w:tc>
        <w:tc>
          <w:tcPr>
            <w:tcW w:w="992" w:type="dxa"/>
            <w:shd w:val="clear" w:color="auto" w:fill="F2DBDB" w:themeFill="accent2" w:themeFillTint="33"/>
            <w:vAlign w:val="bottom"/>
          </w:tcPr>
          <w:p w14:paraId="10D1C570" w14:textId="77777777" w:rsidR="003E183A" w:rsidRPr="00644D4E" w:rsidRDefault="0064706E" w:rsidP="003E183A">
            <w:pPr>
              <w:spacing w:after="0" w:line="240" w:lineRule="auto"/>
              <w:jc w:val="center"/>
              <w:rPr>
                <w:rFonts w:ascii="Times New Roman" w:hAnsi="Times New Roman" w:cs="Times New Roman"/>
                <w:sz w:val="18"/>
                <w:szCs w:val="18"/>
                <w:lang w:val="ro-RO"/>
              </w:rPr>
            </w:pPr>
            <w:r w:rsidRPr="00644D4E">
              <w:rPr>
                <w:rFonts w:ascii="Times New Roman" w:hAnsi="Times New Roman" w:cs="Times New Roman"/>
                <w:sz w:val="18"/>
                <w:szCs w:val="18"/>
                <w:lang w:val="ro-RO"/>
              </w:rPr>
              <w:t>14,2</w:t>
            </w:r>
          </w:p>
        </w:tc>
        <w:tc>
          <w:tcPr>
            <w:tcW w:w="977" w:type="dxa"/>
            <w:shd w:val="clear" w:color="auto" w:fill="F2DBDB" w:themeFill="accent2" w:themeFillTint="33"/>
            <w:vAlign w:val="bottom"/>
          </w:tcPr>
          <w:p w14:paraId="5A900332" w14:textId="77777777" w:rsidR="003E183A" w:rsidRPr="00644D4E" w:rsidRDefault="002511FC" w:rsidP="0064706E">
            <w:pPr>
              <w:spacing w:after="0" w:line="240" w:lineRule="auto"/>
              <w:jc w:val="center"/>
              <w:rPr>
                <w:rFonts w:ascii="Times New Roman" w:hAnsi="Times New Roman" w:cs="Times New Roman"/>
                <w:sz w:val="18"/>
                <w:szCs w:val="18"/>
                <w:lang w:val="ro-RO"/>
              </w:rPr>
            </w:pPr>
            <w:r w:rsidRPr="00644D4E">
              <w:rPr>
                <w:rFonts w:ascii="Times New Roman" w:hAnsi="Times New Roman" w:cs="Times New Roman"/>
                <w:sz w:val="18"/>
                <w:szCs w:val="18"/>
                <w:lang w:val="ro-RO"/>
              </w:rPr>
              <w:t>14,</w:t>
            </w:r>
            <w:r w:rsidR="0064706E" w:rsidRPr="00644D4E">
              <w:rPr>
                <w:rFonts w:ascii="Times New Roman" w:hAnsi="Times New Roman" w:cs="Times New Roman"/>
                <w:sz w:val="18"/>
                <w:szCs w:val="18"/>
                <w:lang w:val="ro-RO"/>
              </w:rPr>
              <w:t>5</w:t>
            </w:r>
          </w:p>
        </w:tc>
        <w:tc>
          <w:tcPr>
            <w:tcW w:w="851" w:type="dxa"/>
            <w:shd w:val="clear" w:color="auto" w:fill="F2DBDB" w:themeFill="accent2" w:themeFillTint="33"/>
          </w:tcPr>
          <w:p w14:paraId="61D78721" w14:textId="77777777" w:rsidR="003E183A" w:rsidRPr="00644D4E" w:rsidRDefault="002C7B9C" w:rsidP="0064706E">
            <w:pPr>
              <w:spacing w:after="0" w:line="240" w:lineRule="auto"/>
              <w:jc w:val="center"/>
              <w:rPr>
                <w:rFonts w:ascii="Times New Roman" w:hAnsi="Times New Roman" w:cs="Times New Roman"/>
                <w:sz w:val="18"/>
                <w:szCs w:val="18"/>
                <w:lang w:val="ro-RO"/>
              </w:rPr>
            </w:pPr>
            <w:r w:rsidRPr="00644D4E">
              <w:rPr>
                <w:rFonts w:ascii="Times New Roman" w:hAnsi="Times New Roman" w:cs="Times New Roman"/>
                <w:sz w:val="18"/>
                <w:szCs w:val="18"/>
                <w:lang w:val="ro-RO"/>
              </w:rPr>
              <w:t>7,</w:t>
            </w:r>
            <w:r w:rsidR="0064706E" w:rsidRPr="00644D4E">
              <w:rPr>
                <w:rFonts w:ascii="Times New Roman" w:hAnsi="Times New Roman" w:cs="Times New Roman"/>
                <w:sz w:val="18"/>
                <w:szCs w:val="18"/>
                <w:lang w:val="ro-RO"/>
              </w:rPr>
              <w:t>4</w:t>
            </w:r>
          </w:p>
        </w:tc>
        <w:tc>
          <w:tcPr>
            <w:tcW w:w="850" w:type="dxa"/>
            <w:shd w:val="clear" w:color="auto" w:fill="F2DBDB" w:themeFill="accent2" w:themeFillTint="33"/>
          </w:tcPr>
          <w:p w14:paraId="2467E165" w14:textId="77777777" w:rsidR="003E183A" w:rsidRPr="00644D4E" w:rsidRDefault="004C76EA" w:rsidP="00C92179">
            <w:pPr>
              <w:spacing w:after="0" w:line="240" w:lineRule="auto"/>
              <w:jc w:val="center"/>
              <w:rPr>
                <w:rFonts w:ascii="Times New Roman" w:hAnsi="Times New Roman" w:cs="Times New Roman"/>
                <w:sz w:val="18"/>
                <w:szCs w:val="18"/>
                <w:lang w:val="ro-RO"/>
              </w:rPr>
            </w:pPr>
            <w:r w:rsidRPr="00644D4E">
              <w:rPr>
                <w:rFonts w:ascii="Times New Roman" w:hAnsi="Times New Roman" w:cs="Times New Roman"/>
                <w:sz w:val="18"/>
                <w:szCs w:val="18"/>
                <w:lang w:val="ro-RO"/>
              </w:rPr>
              <w:t>7,7</w:t>
            </w:r>
          </w:p>
        </w:tc>
      </w:tr>
      <w:tr w:rsidR="00644D4E" w:rsidRPr="00644D4E" w14:paraId="4671491D" w14:textId="77777777" w:rsidTr="003E183A">
        <w:trPr>
          <w:trHeight w:val="341"/>
          <w:jc w:val="center"/>
        </w:trPr>
        <w:tc>
          <w:tcPr>
            <w:tcW w:w="265" w:type="dxa"/>
            <w:shd w:val="clear" w:color="auto" w:fill="EAF1DD" w:themeFill="accent3" w:themeFillTint="33"/>
          </w:tcPr>
          <w:p w14:paraId="3DEB0FE9" w14:textId="77777777" w:rsidR="003E183A" w:rsidRPr="00644D4E" w:rsidRDefault="003E183A" w:rsidP="003E183A">
            <w:pPr>
              <w:spacing w:after="0" w:line="240" w:lineRule="auto"/>
              <w:rPr>
                <w:rFonts w:ascii="Times New Roman" w:hAnsi="Times New Roman" w:cs="Times New Roman"/>
                <w:b/>
                <w:sz w:val="18"/>
                <w:szCs w:val="18"/>
                <w:lang w:val="ro-RO"/>
              </w:rPr>
            </w:pPr>
            <w:r w:rsidRPr="00644D4E">
              <w:rPr>
                <w:rFonts w:ascii="Times New Roman" w:hAnsi="Times New Roman" w:cs="Times New Roman"/>
                <w:b/>
                <w:sz w:val="18"/>
                <w:szCs w:val="18"/>
                <w:lang w:val="ro-RO"/>
              </w:rPr>
              <w:t>6</w:t>
            </w:r>
          </w:p>
        </w:tc>
        <w:tc>
          <w:tcPr>
            <w:tcW w:w="4130" w:type="dxa"/>
            <w:shd w:val="clear" w:color="auto" w:fill="EAF1DD" w:themeFill="accent3" w:themeFillTint="33"/>
          </w:tcPr>
          <w:p w14:paraId="7DCE3A54" w14:textId="77777777" w:rsidR="003E183A" w:rsidRPr="00644D4E" w:rsidRDefault="003E183A" w:rsidP="003E183A">
            <w:pPr>
              <w:spacing w:after="0" w:line="240" w:lineRule="auto"/>
              <w:rPr>
                <w:rFonts w:ascii="Times New Roman" w:hAnsi="Times New Roman" w:cs="Times New Roman"/>
                <w:b/>
                <w:sz w:val="18"/>
                <w:szCs w:val="18"/>
                <w:lang w:val="ro-RO"/>
              </w:rPr>
            </w:pPr>
            <w:r w:rsidRPr="00644D4E">
              <w:rPr>
                <w:rFonts w:ascii="Times New Roman" w:hAnsi="Times New Roman" w:cs="Times New Roman"/>
                <w:b/>
                <w:sz w:val="18"/>
                <w:szCs w:val="18"/>
                <w:lang w:val="ro-RO"/>
              </w:rPr>
              <w:t>Lucrători calificați în agricultură, silvicultură, acvacultură, pescuit și vânătoare</w:t>
            </w:r>
          </w:p>
        </w:tc>
        <w:tc>
          <w:tcPr>
            <w:tcW w:w="992" w:type="dxa"/>
            <w:shd w:val="clear" w:color="auto" w:fill="EAF1DD" w:themeFill="accent3" w:themeFillTint="33"/>
            <w:vAlign w:val="bottom"/>
          </w:tcPr>
          <w:p w14:paraId="6BA09CCD" w14:textId="77777777" w:rsidR="003E183A" w:rsidRPr="00644D4E" w:rsidRDefault="0064706E" w:rsidP="003E183A">
            <w:pPr>
              <w:spacing w:after="0" w:line="240" w:lineRule="auto"/>
              <w:jc w:val="center"/>
              <w:rPr>
                <w:rFonts w:ascii="Times New Roman" w:hAnsi="Times New Roman" w:cs="Times New Roman"/>
                <w:sz w:val="18"/>
                <w:szCs w:val="18"/>
                <w:lang w:val="ro-RO"/>
              </w:rPr>
            </w:pPr>
            <w:r w:rsidRPr="00644D4E">
              <w:rPr>
                <w:rFonts w:ascii="Times New Roman" w:hAnsi="Times New Roman" w:cs="Times New Roman"/>
                <w:sz w:val="18"/>
                <w:szCs w:val="18"/>
                <w:lang w:val="ro-RO"/>
              </w:rPr>
              <w:t>1,2</w:t>
            </w:r>
          </w:p>
        </w:tc>
        <w:tc>
          <w:tcPr>
            <w:tcW w:w="977" w:type="dxa"/>
            <w:shd w:val="clear" w:color="auto" w:fill="EAF1DD" w:themeFill="accent3" w:themeFillTint="33"/>
          </w:tcPr>
          <w:p w14:paraId="0BAC6115" w14:textId="77777777" w:rsidR="00350F6A" w:rsidRPr="00644D4E" w:rsidRDefault="00350F6A" w:rsidP="003E183A">
            <w:pPr>
              <w:spacing w:after="0" w:line="240" w:lineRule="auto"/>
              <w:jc w:val="center"/>
              <w:rPr>
                <w:rFonts w:ascii="Times New Roman" w:hAnsi="Times New Roman" w:cs="Times New Roman"/>
                <w:sz w:val="18"/>
                <w:szCs w:val="18"/>
                <w:lang w:val="ro-RO"/>
              </w:rPr>
            </w:pPr>
          </w:p>
          <w:p w14:paraId="6F1518CD" w14:textId="77777777" w:rsidR="003E183A" w:rsidRPr="00644D4E" w:rsidRDefault="00350F6A" w:rsidP="0064706E">
            <w:pPr>
              <w:spacing w:after="0" w:line="240" w:lineRule="auto"/>
              <w:jc w:val="center"/>
              <w:rPr>
                <w:rFonts w:ascii="Times New Roman" w:hAnsi="Times New Roman" w:cs="Times New Roman"/>
                <w:sz w:val="18"/>
                <w:szCs w:val="18"/>
                <w:lang w:val="ro-RO"/>
              </w:rPr>
            </w:pPr>
            <w:r w:rsidRPr="00644D4E">
              <w:rPr>
                <w:rFonts w:ascii="Times New Roman" w:hAnsi="Times New Roman" w:cs="Times New Roman"/>
                <w:sz w:val="18"/>
                <w:szCs w:val="18"/>
                <w:lang w:val="ro-RO"/>
              </w:rPr>
              <w:t>1,</w:t>
            </w:r>
            <w:r w:rsidR="0064706E" w:rsidRPr="00644D4E">
              <w:rPr>
                <w:rFonts w:ascii="Times New Roman" w:hAnsi="Times New Roman" w:cs="Times New Roman"/>
                <w:sz w:val="18"/>
                <w:szCs w:val="18"/>
                <w:lang w:val="ro-RO"/>
              </w:rPr>
              <w:t>4</w:t>
            </w:r>
          </w:p>
        </w:tc>
        <w:tc>
          <w:tcPr>
            <w:tcW w:w="851" w:type="dxa"/>
            <w:shd w:val="clear" w:color="auto" w:fill="EAF1DD" w:themeFill="accent3" w:themeFillTint="33"/>
          </w:tcPr>
          <w:p w14:paraId="176556D4" w14:textId="77777777" w:rsidR="003E183A" w:rsidRPr="00644D4E" w:rsidRDefault="003E183A" w:rsidP="003E183A">
            <w:pPr>
              <w:spacing w:after="0" w:line="240" w:lineRule="auto"/>
              <w:jc w:val="center"/>
              <w:rPr>
                <w:rFonts w:ascii="Times New Roman" w:hAnsi="Times New Roman" w:cs="Times New Roman"/>
                <w:sz w:val="18"/>
                <w:szCs w:val="18"/>
                <w:lang w:val="ro-RO"/>
              </w:rPr>
            </w:pPr>
          </w:p>
          <w:p w14:paraId="25C0BB4A" w14:textId="77777777" w:rsidR="003E183A" w:rsidRPr="00644D4E" w:rsidRDefault="002C7B9C" w:rsidP="0064706E">
            <w:pPr>
              <w:spacing w:after="0" w:line="240" w:lineRule="auto"/>
              <w:jc w:val="center"/>
              <w:rPr>
                <w:rFonts w:ascii="Times New Roman" w:hAnsi="Times New Roman" w:cs="Times New Roman"/>
                <w:sz w:val="18"/>
                <w:szCs w:val="18"/>
                <w:lang w:val="ro-RO"/>
              </w:rPr>
            </w:pPr>
            <w:r w:rsidRPr="00644D4E">
              <w:rPr>
                <w:rFonts w:ascii="Times New Roman" w:hAnsi="Times New Roman" w:cs="Times New Roman"/>
                <w:sz w:val="18"/>
                <w:szCs w:val="18"/>
                <w:lang w:val="ro-RO"/>
              </w:rPr>
              <w:t>1,</w:t>
            </w:r>
            <w:r w:rsidR="0064706E" w:rsidRPr="00644D4E">
              <w:rPr>
                <w:rFonts w:ascii="Times New Roman" w:hAnsi="Times New Roman" w:cs="Times New Roman"/>
                <w:sz w:val="18"/>
                <w:szCs w:val="18"/>
                <w:lang w:val="ro-RO"/>
              </w:rPr>
              <w:t>4</w:t>
            </w:r>
          </w:p>
        </w:tc>
        <w:tc>
          <w:tcPr>
            <w:tcW w:w="850" w:type="dxa"/>
            <w:shd w:val="clear" w:color="auto" w:fill="EAF1DD" w:themeFill="accent3" w:themeFillTint="33"/>
          </w:tcPr>
          <w:p w14:paraId="6DDDC92A" w14:textId="77777777" w:rsidR="00D4472D" w:rsidRPr="00644D4E" w:rsidRDefault="00D4472D" w:rsidP="00C92179">
            <w:pPr>
              <w:spacing w:after="0" w:line="240" w:lineRule="auto"/>
              <w:jc w:val="center"/>
              <w:rPr>
                <w:rFonts w:ascii="Times New Roman" w:hAnsi="Times New Roman" w:cs="Times New Roman"/>
                <w:sz w:val="18"/>
                <w:szCs w:val="18"/>
                <w:lang w:val="ro-RO"/>
              </w:rPr>
            </w:pPr>
          </w:p>
          <w:p w14:paraId="707B54CE" w14:textId="77777777" w:rsidR="003E183A" w:rsidRPr="00644D4E" w:rsidRDefault="004C76EA" w:rsidP="00C92179">
            <w:pPr>
              <w:spacing w:after="0" w:line="240" w:lineRule="auto"/>
              <w:jc w:val="center"/>
              <w:rPr>
                <w:rFonts w:ascii="Times New Roman" w:hAnsi="Times New Roman" w:cs="Times New Roman"/>
                <w:sz w:val="18"/>
                <w:szCs w:val="18"/>
                <w:lang w:val="ro-RO"/>
              </w:rPr>
            </w:pPr>
            <w:r w:rsidRPr="00644D4E">
              <w:rPr>
                <w:rFonts w:ascii="Times New Roman" w:hAnsi="Times New Roman" w:cs="Times New Roman"/>
                <w:sz w:val="18"/>
                <w:szCs w:val="18"/>
                <w:lang w:val="ro-RO"/>
              </w:rPr>
              <w:t>1,3</w:t>
            </w:r>
          </w:p>
        </w:tc>
      </w:tr>
      <w:tr w:rsidR="00644D4E" w:rsidRPr="00644D4E" w14:paraId="3A369A3D" w14:textId="77777777" w:rsidTr="003E183A">
        <w:trPr>
          <w:jc w:val="center"/>
        </w:trPr>
        <w:tc>
          <w:tcPr>
            <w:tcW w:w="265" w:type="dxa"/>
            <w:shd w:val="clear" w:color="auto" w:fill="EAF1DD" w:themeFill="accent3" w:themeFillTint="33"/>
          </w:tcPr>
          <w:p w14:paraId="030EB521" w14:textId="77777777" w:rsidR="003E183A" w:rsidRPr="00644D4E" w:rsidRDefault="003E183A" w:rsidP="003E183A">
            <w:pPr>
              <w:spacing w:after="0" w:line="240" w:lineRule="auto"/>
              <w:rPr>
                <w:rFonts w:ascii="Times New Roman" w:hAnsi="Times New Roman" w:cs="Times New Roman"/>
                <w:b/>
                <w:sz w:val="18"/>
                <w:szCs w:val="18"/>
                <w:lang w:val="ro-RO"/>
              </w:rPr>
            </w:pPr>
            <w:r w:rsidRPr="00644D4E">
              <w:rPr>
                <w:rFonts w:ascii="Times New Roman" w:hAnsi="Times New Roman" w:cs="Times New Roman"/>
                <w:b/>
                <w:sz w:val="18"/>
                <w:szCs w:val="18"/>
                <w:lang w:val="ro-RO"/>
              </w:rPr>
              <w:t>7</w:t>
            </w:r>
          </w:p>
        </w:tc>
        <w:tc>
          <w:tcPr>
            <w:tcW w:w="4130" w:type="dxa"/>
            <w:shd w:val="clear" w:color="auto" w:fill="EAF1DD" w:themeFill="accent3" w:themeFillTint="33"/>
          </w:tcPr>
          <w:p w14:paraId="6647736D" w14:textId="77777777" w:rsidR="003E183A" w:rsidRPr="00644D4E" w:rsidRDefault="003E183A" w:rsidP="003E183A">
            <w:pPr>
              <w:spacing w:after="0" w:line="240" w:lineRule="auto"/>
              <w:rPr>
                <w:rFonts w:ascii="Times New Roman" w:hAnsi="Times New Roman" w:cs="Times New Roman"/>
                <w:b/>
                <w:sz w:val="18"/>
                <w:szCs w:val="18"/>
                <w:lang w:val="ro-RO"/>
              </w:rPr>
            </w:pPr>
            <w:r w:rsidRPr="00644D4E">
              <w:rPr>
                <w:rFonts w:ascii="Times New Roman" w:hAnsi="Times New Roman" w:cs="Times New Roman"/>
                <w:b/>
                <w:sz w:val="18"/>
                <w:szCs w:val="18"/>
                <w:lang w:val="ro-RO"/>
              </w:rPr>
              <w:t>Muncitori calificați și asimilați</w:t>
            </w:r>
          </w:p>
        </w:tc>
        <w:tc>
          <w:tcPr>
            <w:tcW w:w="992" w:type="dxa"/>
            <w:shd w:val="clear" w:color="auto" w:fill="EAF1DD" w:themeFill="accent3" w:themeFillTint="33"/>
            <w:vAlign w:val="bottom"/>
          </w:tcPr>
          <w:p w14:paraId="5E23FE88" w14:textId="77777777" w:rsidR="003E183A" w:rsidRPr="00644D4E" w:rsidRDefault="0064706E" w:rsidP="003E183A">
            <w:pPr>
              <w:spacing w:after="0" w:line="240" w:lineRule="auto"/>
              <w:jc w:val="center"/>
              <w:rPr>
                <w:rFonts w:ascii="Times New Roman" w:hAnsi="Times New Roman" w:cs="Times New Roman"/>
                <w:sz w:val="18"/>
                <w:szCs w:val="18"/>
                <w:lang w:val="ro-RO"/>
              </w:rPr>
            </w:pPr>
            <w:r w:rsidRPr="00644D4E">
              <w:rPr>
                <w:rFonts w:ascii="Times New Roman" w:hAnsi="Times New Roman" w:cs="Times New Roman"/>
                <w:sz w:val="18"/>
                <w:szCs w:val="18"/>
                <w:lang w:val="ro-RO"/>
              </w:rPr>
              <w:t>30,2</w:t>
            </w:r>
          </w:p>
        </w:tc>
        <w:tc>
          <w:tcPr>
            <w:tcW w:w="977" w:type="dxa"/>
            <w:shd w:val="clear" w:color="auto" w:fill="EAF1DD" w:themeFill="accent3" w:themeFillTint="33"/>
            <w:vAlign w:val="bottom"/>
          </w:tcPr>
          <w:p w14:paraId="25E88166" w14:textId="77777777" w:rsidR="003E183A" w:rsidRPr="00644D4E" w:rsidRDefault="0064706E" w:rsidP="003E183A">
            <w:pPr>
              <w:spacing w:after="0" w:line="240" w:lineRule="auto"/>
              <w:jc w:val="center"/>
              <w:rPr>
                <w:rFonts w:ascii="Times New Roman" w:hAnsi="Times New Roman" w:cs="Times New Roman"/>
                <w:b/>
                <w:sz w:val="18"/>
                <w:szCs w:val="18"/>
                <w:lang w:val="ro-RO"/>
              </w:rPr>
            </w:pPr>
            <w:r w:rsidRPr="00644D4E">
              <w:rPr>
                <w:rFonts w:ascii="Times New Roman" w:hAnsi="Times New Roman" w:cs="Times New Roman"/>
                <w:b/>
                <w:sz w:val="18"/>
                <w:szCs w:val="18"/>
                <w:lang w:val="ro-RO"/>
              </w:rPr>
              <w:t>26,6</w:t>
            </w:r>
          </w:p>
        </w:tc>
        <w:tc>
          <w:tcPr>
            <w:tcW w:w="851" w:type="dxa"/>
            <w:shd w:val="clear" w:color="auto" w:fill="EAF1DD" w:themeFill="accent3" w:themeFillTint="33"/>
          </w:tcPr>
          <w:p w14:paraId="63B8DF4C" w14:textId="77777777" w:rsidR="003E183A" w:rsidRPr="00644D4E" w:rsidRDefault="0064706E" w:rsidP="003E183A">
            <w:pPr>
              <w:spacing w:after="0" w:line="240" w:lineRule="auto"/>
              <w:jc w:val="center"/>
              <w:rPr>
                <w:rFonts w:ascii="Times New Roman" w:hAnsi="Times New Roman" w:cs="Times New Roman"/>
                <w:sz w:val="18"/>
                <w:szCs w:val="18"/>
                <w:lang w:val="ro-RO"/>
              </w:rPr>
            </w:pPr>
            <w:r w:rsidRPr="00644D4E">
              <w:rPr>
                <w:rFonts w:ascii="Times New Roman" w:hAnsi="Times New Roman" w:cs="Times New Roman"/>
                <w:sz w:val="18"/>
                <w:szCs w:val="18"/>
                <w:lang w:val="ro-RO"/>
              </w:rPr>
              <w:t>10</w:t>
            </w:r>
            <w:r w:rsidR="002C7B9C" w:rsidRPr="00644D4E">
              <w:rPr>
                <w:rFonts w:ascii="Times New Roman" w:hAnsi="Times New Roman" w:cs="Times New Roman"/>
                <w:sz w:val="18"/>
                <w:szCs w:val="18"/>
                <w:lang w:val="ro-RO"/>
              </w:rPr>
              <w:t>,4</w:t>
            </w:r>
          </w:p>
        </w:tc>
        <w:tc>
          <w:tcPr>
            <w:tcW w:w="850" w:type="dxa"/>
            <w:shd w:val="clear" w:color="auto" w:fill="EAF1DD" w:themeFill="accent3" w:themeFillTint="33"/>
          </w:tcPr>
          <w:p w14:paraId="465B5E1F" w14:textId="77777777" w:rsidR="003E183A" w:rsidRPr="00644D4E" w:rsidRDefault="004C76EA" w:rsidP="003E183A">
            <w:pPr>
              <w:spacing w:after="0" w:line="240" w:lineRule="auto"/>
              <w:jc w:val="center"/>
              <w:rPr>
                <w:rFonts w:ascii="Times New Roman" w:hAnsi="Times New Roman" w:cs="Times New Roman"/>
                <w:sz w:val="18"/>
                <w:szCs w:val="18"/>
                <w:lang w:val="ro-RO"/>
              </w:rPr>
            </w:pPr>
            <w:r w:rsidRPr="00644D4E">
              <w:rPr>
                <w:rFonts w:ascii="Times New Roman" w:hAnsi="Times New Roman" w:cs="Times New Roman"/>
                <w:sz w:val="18"/>
                <w:szCs w:val="18"/>
                <w:lang w:val="ro-RO"/>
              </w:rPr>
              <w:t>9,8</w:t>
            </w:r>
          </w:p>
        </w:tc>
      </w:tr>
      <w:tr w:rsidR="00644D4E" w:rsidRPr="00644D4E" w14:paraId="307DE3B1" w14:textId="77777777" w:rsidTr="003E183A">
        <w:trPr>
          <w:jc w:val="center"/>
        </w:trPr>
        <w:tc>
          <w:tcPr>
            <w:tcW w:w="265" w:type="dxa"/>
            <w:shd w:val="clear" w:color="auto" w:fill="EAF1DD" w:themeFill="accent3" w:themeFillTint="33"/>
          </w:tcPr>
          <w:p w14:paraId="5BC7DADE" w14:textId="77777777" w:rsidR="003E183A" w:rsidRPr="00644D4E" w:rsidRDefault="003E183A" w:rsidP="003E183A">
            <w:pPr>
              <w:spacing w:after="0" w:line="240" w:lineRule="auto"/>
              <w:rPr>
                <w:rFonts w:ascii="Times New Roman" w:hAnsi="Times New Roman" w:cs="Times New Roman"/>
                <w:b/>
                <w:sz w:val="18"/>
                <w:szCs w:val="18"/>
                <w:lang w:val="ro-RO"/>
              </w:rPr>
            </w:pPr>
            <w:r w:rsidRPr="00644D4E">
              <w:rPr>
                <w:rFonts w:ascii="Times New Roman" w:hAnsi="Times New Roman" w:cs="Times New Roman"/>
                <w:b/>
                <w:sz w:val="18"/>
                <w:szCs w:val="18"/>
                <w:lang w:val="ro-RO"/>
              </w:rPr>
              <w:t>8</w:t>
            </w:r>
          </w:p>
        </w:tc>
        <w:tc>
          <w:tcPr>
            <w:tcW w:w="4130" w:type="dxa"/>
            <w:shd w:val="clear" w:color="auto" w:fill="EAF1DD" w:themeFill="accent3" w:themeFillTint="33"/>
          </w:tcPr>
          <w:p w14:paraId="1D246625" w14:textId="77777777" w:rsidR="003E183A" w:rsidRPr="00644D4E" w:rsidRDefault="003E183A" w:rsidP="003E183A">
            <w:pPr>
              <w:spacing w:after="0" w:line="240" w:lineRule="auto"/>
              <w:rPr>
                <w:rFonts w:ascii="Times New Roman" w:hAnsi="Times New Roman" w:cs="Times New Roman"/>
                <w:b/>
                <w:sz w:val="18"/>
                <w:szCs w:val="18"/>
                <w:lang w:val="ro-RO"/>
              </w:rPr>
            </w:pPr>
            <w:r w:rsidRPr="00644D4E">
              <w:rPr>
                <w:rFonts w:ascii="Times New Roman" w:hAnsi="Times New Roman" w:cs="Times New Roman"/>
                <w:b/>
                <w:sz w:val="18"/>
                <w:szCs w:val="18"/>
                <w:lang w:val="ro-RO"/>
              </w:rPr>
              <w:t>Operatori la mașini, asamblori de mașini</w:t>
            </w:r>
          </w:p>
        </w:tc>
        <w:tc>
          <w:tcPr>
            <w:tcW w:w="992" w:type="dxa"/>
            <w:shd w:val="clear" w:color="auto" w:fill="EAF1DD" w:themeFill="accent3" w:themeFillTint="33"/>
            <w:vAlign w:val="bottom"/>
          </w:tcPr>
          <w:p w14:paraId="186F57B6" w14:textId="77777777" w:rsidR="003E183A" w:rsidRPr="00644D4E" w:rsidRDefault="0064706E" w:rsidP="003E183A">
            <w:pPr>
              <w:spacing w:after="0" w:line="240" w:lineRule="auto"/>
              <w:jc w:val="center"/>
              <w:rPr>
                <w:rFonts w:ascii="Times New Roman" w:hAnsi="Times New Roman" w:cs="Times New Roman"/>
                <w:sz w:val="18"/>
                <w:szCs w:val="18"/>
                <w:lang w:val="ro-RO"/>
              </w:rPr>
            </w:pPr>
            <w:r w:rsidRPr="00644D4E">
              <w:rPr>
                <w:rFonts w:ascii="Times New Roman" w:hAnsi="Times New Roman" w:cs="Times New Roman"/>
                <w:sz w:val="18"/>
                <w:szCs w:val="18"/>
                <w:lang w:val="ro-RO"/>
              </w:rPr>
              <w:t>11,7</w:t>
            </w:r>
          </w:p>
        </w:tc>
        <w:tc>
          <w:tcPr>
            <w:tcW w:w="977" w:type="dxa"/>
            <w:shd w:val="clear" w:color="auto" w:fill="EAF1DD" w:themeFill="accent3" w:themeFillTint="33"/>
            <w:vAlign w:val="bottom"/>
          </w:tcPr>
          <w:p w14:paraId="0284926D" w14:textId="77777777" w:rsidR="003E183A" w:rsidRPr="00644D4E" w:rsidRDefault="0064706E" w:rsidP="003E183A">
            <w:pPr>
              <w:spacing w:after="0" w:line="240" w:lineRule="auto"/>
              <w:jc w:val="center"/>
              <w:rPr>
                <w:rFonts w:ascii="Times New Roman" w:hAnsi="Times New Roman" w:cs="Times New Roman"/>
                <w:sz w:val="18"/>
                <w:szCs w:val="18"/>
                <w:lang w:val="ro-RO"/>
              </w:rPr>
            </w:pPr>
            <w:r w:rsidRPr="00644D4E">
              <w:rPr>
                <w:rFonts w:ascii="Times New Roman" w:hAnsi="Times New Roman" w:cs="Times New Roman"/>
                <w:sz w:val="18"/>
                <w:szCs w:val="18"/>
                <w:lang w:val="ro-RO"/>
              </w:rPr>
              <w:t>12,0</w:t>
            </w:r>
          </w:p>
        </w:tc>
        <w:tc>
          <w:tcPr>
            <w:tcW w:w="851" w:type="dxa"/>
            <w:shd w:val="clear" w:color="auto" w:fill="EAF1DD" w:themeFill="accent3" w:themeFillTint="33"/>
          </w:tcPr>
          <w:p w14:paraId="32F200A4" w14:textId="77777777" w:rsidR="003E183A" w:rsidRPr="00644D4E" w:rsidRDefault="003E183A" w:rsidP="0064706E">
            <w:pPr>
              <w:spacing w:after="0" w:line="240" w:lineRule="auto"/>
              <w:jc w:val="center"/>
              <w:rPr>
                <w:rFonts w:ascii="Times New Roman" w:hAnsi="Times New Roman" w:cs="Times New Roman"/>
                <w:sz w:val="18"/>
                <w:szCs w:val="18"/>
                <w:lang w:val="ro-RO"/>
              </w:rPr>
            </w:pPr>
            <w:r w:rsidRPr="00644D4E">
              <w:rPr>
                <w:rFonts w:ascii="Times New Roman" w:hAnsi="Times New Roman" w:cs="Times New Roman"/>
                <w:sz w:val="18"/>
                <w:szCs w:val="18"/>
                <w:lang w:val="ro-RO"/>
              </w:rPr>
              <w:t>6,</w:t>
            </w:r>
            <w:r w:rsidR="0064706E" w:rsidRPr="00644D4E">
              <w:rPr>
                <w:rFonts w:ascii="Times New Roman" w:hAnsi="Times New Roman" w:cs="Times New Roman"/>
                <w:sz w:val="18"/>
                <w:szCs w:val="18"/>
                <w:lang w:val="ro-RO"/>
              </w:rPr>
              <w:t>3</w:t>
            </w:r>
          </w:p>
        </w:tc>
        <w:tc>
          <w:tcPr>
            <w:tcW w:w="850" w:type="dxa"/>
            <w:shd w:val="clear" w:color="auto" w:fill="EAF1DD" w:themeFill="accent3" w:themeFillTint="33"/>
          </w:tcPr>
          <w:p w14:paraId="090F7165" w14:textId="77777777" w:rsidR="003E183A" w:rsidRPr="00644D4E" w:rsidRDefault="004C76EA" w:rsidP="003E183A">
            <w:pPr>
              <w:spacing w:after="0" w:line="240" w:lineRule="auto"/>
              <w:jc w:val="center"/>
              <w:rPr>
                <w:rFonts w:ascii="Times New Roman" w:hAnsi="Times New Roman" w:cs="Times New Roman"/>
                <w:sz w:val="18"/>
                <w:szCs w:val="18"/>
                <w:lang w:val="ro-RO"/>
              </w:rPr>
            </w:pPr>
            <w:r w:rsidRPr="00644D4E">
              <w:rPr>
                <w:rFonts w:ascii="Times New Roman" w:hAnsi="Times New Roman" w:cs="Times New Roman"/>
                <w:sz w:val="18"/>
                <w:szCs w:val="18"/>
                <w:lang w:val="ro-RO"/>
              </w:rPr>
              <w:t>6,0</w:t>
            </w:r>
          </w:p>
        </w:tc>
      </w:tr>
      <w:tr w:rsidR="00644D4E" w:rsidRPr="00644D4E" w14:paraId="0FD8A32F" w14:textId="77777777" w:rsidTr="003E183A">
        <w:trPr>
          <w:jc w:val="center"/>
        </w:trPr>
        <w:tc>
          <w:tcPr>
            <w:tcW w:w="265" w:type="dxa"/>
            <w:shd w:val="clear" w:color="auto" w:fill="F2DBDB" w:themeFill="accent2" w:themeFillTint="33"/>
          </w:tcPr>
          <w:p w14:paraId="6894D963" w14:textId="77777777" w:rsidR="003E183A" w:rsidRPr="00644D4E" w:rsidRDefault="003E183A" w:rsidP="003E183A">
            <w:pPr>
              <w:spacing w:after="0" w:line="240" w:lineRule="auto"/>
              <w:rPr>
                <w:rFonts w:ascii="Times New Roman" w:hAnsi="Times New Roman" w:cs="Times New Roman"/>
                <w:b/>
                <w:sz w:val="18"/>
                <w:szCs w:val="18"/>
                <w:lang w:val="ro-RO"/>
              </w:rPr>
            </w:pPr>
            <w:r w:rsidRPr="00644D4E">
              <w:rPr>
                <w:rFonts w:ascii="Times New Roman" w:hAnsi="Times New Roman" w:cs="Times New Roman"/>
                <w:b/>
                <w:sz w:val="18"/>
                <w:szCs w:val="18"/>
                <w:lang w:val="ro-RO"/>
              </w:rPr>
              <w:t>9</w:t>
            </w:r>
          </w:p>
        </w:tc>
        <w:tc>
          <w:tcPr>
            <w:tcW w:w="4130" w:type="dxa"/>
            <w:shd w:val="clear" w:color="auto" w:fill="F2DBDB" w:themeFill="accent2" w:themeFillTint="33"/>
          </w:tcPr>
          <w:p w14:paraId="31648DDF" w14:textId="77777777" w:rsidR="003E183A" w:rsidRPr="00644D4E" w:rsidRDefault="003E183A" w:rsidP="003E183A">
            <w:pPr>
              <w:spacing w:after="0" w:line="240" w:lineRule="auto"/>
              <w:rPr>
                <w:rFonts w:ascii="Times New Roman" w:hAnsi="Times New Roman" w:cs="Times New Roman"/>
                <w:b/>
                <w:sz w:val="18"/>
                <w:szCs w:val="18"/>
                <w:lang w:val="ro-RO"/>
              </w:rPr>
            </w:pPr>
            <w:r w:rsidRPr="00644D4E">
              <w:rPr>
                <w:rFonts w:ascii="Times New Roman" w:hAnsi="Times New Roman" w:cs="Times New Roman"/>
                <w:b/>
                <w:sz w:val="18"/>
                <w:szCs w:val="18"/>
                <w:lang w:val="ro-RO"/>
              </w:rPr>
              <w:t>Muncitori necalificați</w:t>
            </w:r>
          </w:p>
        </w:tc>
        <w:tc>
          <w:tcPr>
            <w:tcW w:w="992" w:type="dxa"/>
            <w:shd w:val="clear" w:color="auto" w:fill="F2DBDB" w:themeFill="accent2" w:themeFillTint="33"/>
            <w:vAlign w:val="bottom"/>
          </w:tcPr>
          <w:p w14:paraId="79A374DB" w14:textId="77777777" w:rsidR="003E183A" w:rsidRPr="00644D4E" w:rsidRDefault="003E51D9" w:rsidP="0064706E">
            <w:pPr>
              <w:spacing w:after="0" w:line="240" w:lineRule="auto"/>
              <w:jc w:val="center"/>
              <w:rPr>
                <w:rFonts w:ascii="Times New Roman" w:hAnsi="Times New Roman" w:cs="Times New Roman"/>
                <w:sz w:val="18"/>
                <w:szCs w:val="18"/>
                <w:lang w:val="ro-RO"/>
              </w:rPr>
            </w:pPr>
            <w:r w:rsidRPr="00644D4E">
              <w:rPr>
                <w:rFonts w:ascii="Times New Roman" w:hAnsi="Times New Roman" w:cs="Times New Roman"/>
                <w:sz w:val="18"/>
                <w:szCs w:val="18"/>
                <w:lang w:val="ro-RO"/>
              </w:rPr>
              <w:t>1</w:t>
            </w:r>
            <w:r w:rsidR="0064706E" w:rsidRPr="00644D4E">
              <w:rPr>
                <w:rFonts w:ascii="Times New Roman" w:hAnsi="Times New Roman" w:cs="Times New Roman"/>
                <w:sz w:val="18"/>
                <w:szCs w:val="18"/>
                <w:lang w:val="ro-RO"/>
              </w:rPr>
              <w:t>5</w:t>
            </w:r>
            <w:r w:rsidRPr="00644D4E">
              <w:rPr>
                <w:rFonts w:ascii="Times New Roman" w:hAnsi="Times New Roman" w:cs="Times New Roman"/>
                <w:sz w:val="18"/>
                <w:szCs w:val="18"/>
                <w:lang w:val="ro-RO"/>
              </w:rPr>
              <w:t>,5</w:t>
            </w:r>
          </w:p>
        </w:tc>
        <w:tc>
          <w:tcPr>
            <w:tcW w:w="977" w:type="dxa"/>
            <w:shd w:val="clear" w:color="auto" w:fill="F2DBDB" w:themeFill="accent2" w:themeFillTint="33"/>
            <w:vAlign w:val="bottom"/>
          </w:tcPr>
          <w:p w14:paraId="0EC6F564" w14:textId="77777777" w:rsidR="003E183A" w:rsidRPr="00644D4E" w:rsidRDefault="0064706E" w:rsidP="003E183A">
            <w:pPr>
              <w:spacing w:after="0" w:line="240" w:lineRule="auto"/>
              <w:jc w:val="center"/>
              <w:rPr>
                <w:rFonts w:ascii="Times New Roman" w:hAnsi="Times New Roman" w:cs="Times New Roman"/>
                <w:sz w:val="18"/>
                <w:szCs w:val="18"/>
                <w:lang w:val="ro-RO"/>
              </w:rPr>
            </w:pPr>
            <w:r w:rsidRPr="00644D4E">
              <w:rPr>
                <w:rFonts w:ascii="Times New Roman" w:hAnsi="Times New Roman" w:cs="Times New Roman"/>
                <w:sz w:val="18"/>
                <w:szCs w:val="18"/>
                <w:lang w:val="ro-RO"/>
              </w:rPr>
              <w:t>24,8</w:t>
            </w:r>
          </w:p>
        </w:tc>
        <w:tc>
          <w:tcPr>
            <w:tcW w:w="851" w:type="dxa"/>
            <w:shd w:val="clear" w:color="auto" w:fill="F2DBDB" w:themeFill="accent2" w:themeFillTint="33"/>
          </w:tcPr>
          <w:p w14:paraId="01C0AC50" w14:textId="77777777" w:rsidR="003E183A" w:rsidRPr="00644D4E" w:rsidRDefault="003E183A" w:rsidP="0064706E">
            <w:pPr>
              <w:spacing w:after="0" w:line="240" w:lineRule="auto"/>
              <w:jc w:val="center"/>
              <w:rPr>
                <w:rFonts w:ascii="Times New Roman" w:hAnsi="Times New Roman" w:cs="Times New Roman"/>
                <w:sz w:val="18"/>
                <w:szCs w:val="18"/>
                <w:lang w:val="ro-RO"/>
              </w:rPr>
            </w:pPr>
            <w:r w:rsidRPr="00644D4E">
              <w:rPr>
                <w:rFonts w:ascii="Times New Roman" w:hAnsi="Times New Roman" w:cs="Times New Roman"/>
                <w:sz w:val="18"/>
                <w:szCs w:val="18"/>
                <w:lang w:val="ro-RO"/>
              </w:rPr>
              <w:t>3</w:t>
            </w:r>
            <w:r w:rsidR="0064706E" w:rsidRPr="00644D4E">
              <w:rPr>
                <w:rFonts w:ascii="Times New Roman" w:hAnsi="Times New Roman" w:cs="Times New Roman"/>
                <w:sz w:val="18"/>
                <w:szCs w:val="18"/>
                <w:lang w:val="ro-RO"/>
              </w:rPr>
              <w:t>2</w:t>
            </w:r>
            <w:r w:rsidRPr="00644D4E">
              <w:rPr>
                <w:rFonts w:ascii="Times New Roman" w:hAnsi="Times New Roman" w:cs="Times New Roman"/>
                <w:sz w:val="18"/>
                <w:szCs w:val="18"/>
                <w:lang w:val="ro-RO"/>
              </w:rPr>
              <w:t>,</w:t>
            </w:r>
            <w:r w:rsidR="0064706E" w:rsidRPr="00644D4E">
              <w:rPr>
                <w:rFonts w:ascii="Times New Roman" w:hAnsi="Times New Roman" w:cs="Times New Roman"/>
                <w:sz w:val="18"/>
                <w:szCs w:val="18"/>
                <w:lang w:val="ro-RO"/>
              </w:rPr>
              <w:t>7</w:t>
            </w:r>
          </w:p>
        </w:tc>
        <w:tc>
          <w:tcPr>
            <w:tcW w:w="850" w:type="dxa"/>
            <w:shd w:val="clear" w:color="auto" w:fill="F2DBDB" w:themeFill="accent2" w:themeFillTint="33"/>
          </w:tcPr>
          <w:p w14:paraId="579F2844" w14:textId="77777777" w:rsidR="003E183A" w:rsidRPr="00644D4E" w:rsidRDefault="004C76EA" w:rsidP="003E183A">
            <w:pPr>
              <w:spacing w:after="0" w:line="240" w:lineRule="auto"/>
              <w:jc w:val="center"/>
              <w:rPr>
                <w:rFonts w:ascii="Times New Roman" w:hAnsi="Times New Roman" w:cs="Times New Roman"/>
                <w:b/>
                <w:sz w:val="18"/>
                <w:szCs w:val="18"/>
                <w:lang w:val="ro-RO"/>
              </w:rPr>
            </w:pPr>
            <w:r w:rsidRPr="00644D4E">
              <w:rPr>
                <w:rFonts w:ascii="Times New Roman" w:hAnsi="Times New Roman" w:cs="Times New Roman"/>
                <w:b/>
                <w:sz w:val="18"/>
                <w:szCs w:val="18"/>
                <w:lang w:val="ro-RO"/>
              </w:rPr>
              <w:t>32,4</w:t>
            </w:r>
          </w:p>
        </w:tc>
      </w:tr>
      <w:tr w:rsidR="00644D4E" w:rsidRPr="00644D4E" w14:paraId="791C5005" w14:textId="77777777" w:rsidTr="003E183A">
        <w:trPr>
          <w:jc w:val="center"/>
        </w:trPr>
        <w:tc>
          <w:tcPr>
            <w:tcW w:w="265" w:type="dxa"/>
            <w:shd w:val="clear" w:color="auto" w:fill="F2DBDB" w:themeFill="accent2" w:themeFillTint="33"/>
          </w:tcPr>
          <w:p w14:paraId="04F8EA77" w14:textId="77777777" w:rsidR="003E51D9" w:rsidRPr="00644D4E" w:rsidRDefault="003E51D9" w:rsidP="003E183A">
            <w:pPr>
              <w:spacing w:after="0" w:line="240" w:lineRule="auto"/>
              <w:rPr>
                <w:rFonts w:ascii="Times New Roman" w:hAnsi="Times New Roman" w:cs="Times New Roman"/>
                <w:b/>
                <w:sz w:val="18"/>
                <w:szCs w:val="18"/>
                <w:lang w:val="ro-RO"/>
              </w:rPr>
            </w:pPr>
          </w:p>
        </w:tc>
        <w:tc>
          <w:tcPr>
            <w:tcW w:w="4130" w:type="dxa"/>
            <w:shd w:val="clear" w:color="auto" w:fill="F2DBDB" w:themeFill="accent2" w:themeFillTint="33"/>
          </w:tcPr>
          <w:p w14:paraId="5C478709" w14:textId="77777777" w:rsidR="003E51D9" w:rsidRPr="00644D4E" w:rsidRDefault="00C92179" w:rsidP="003E183A">
            <w:pPr>
              <w:spacing w:after="0" w:line="240" w:lineRule="auto"/>
              <w:rPr>
                <w:rFonts w:ascii="Times New Roman" w:hAnsi="Times New Roman" w:cs="Times New Roman"/>
                <w:b/>
                <w:sz w:val="18"/>
                <w:szCs w:val="18"/>
                <w:lang w:val="ro-RO"/>
              </w:rPr>
            </w:pPr>
            <w:r w:rsidRPr="00644D4E">
              <w:rPr>
                <w:rFonts w:ascii="Times New Roman" w:hAnsi="Times New Roman" w:cs="Times New Roman"/>
                <w:b/>
                <w:sz w:val="18"/>
                <w:szCs w:val="18"/>
                <w:lang w:val="ro-RO"/>
              </w:rPr>
              <w:t>Persoane pentru prima dată în căutarea unui loc de muncă și fără o calificare</w:t>
            </w:r>
          </w:p>
        </w:tc>
        <w:tc>
          <w:tcPr>
            <w:tcW w:w="992" w:type="dxa"/>
            <w:shd w:val="clear" w:color="auto" w:fill="F2DBDB" w:themeFill="accent2" w:themeFillTint="33"/>
            <w:vAlign w:val="bottom"/>
          </w:tcPr>
          <w:p w14:paraId="3F1439C3" w14:textId="77777777" w:rsidR="003E51D9" w:rsidRPr="00644D4E" w:rsidRDefault="00414448" w:rsidP="0064706E">
            <w:pPr>
              <w:spacing w:after="0" w:line="240" w:lineRule="auto"/>
              <w:jc w:val="center"/>
              <w:rPr>
                <w:rFonts w:ascii="Times New Roman" w:hAnsi="Times New Roman" w:cs="Times New Roman"/>
                <w:sz w:val="18"/>
                <w:szCs w:val="18"/>
                <w:lang w:val="ro-RO"/>
              </w:rPr>
            </w:pPr>
            <w:r w:rsidRPr="00644D4E">
              <w:rPr>
                <w:rFonts w:ascii="Times New Roman" w:hAnsi="Times New Roman" w:cs="Times New Roman"/>
                <w:sz w:val="18"/>
                <w:szCs w:val="18"/>
                <w:lang w:val="ro-RO"/>
              </w:rPr>
              <w:t>X</w:t>
            </w:r>
          </w:p>
        </w:tc>
        <w:tc>
          <w:tcPr>
            <w:tcW w:w="977" w:type="dxa"/>
            <w:shd w:val="clear" w:color="auto" w:fill="F2DBDB" w:themeFill="accent2" w:themeFillTint="33"/>
            <w:vAlign w:val="bottom"/>
          </w:tcPr>
          <w:p w14:paraId="05F8D159" w14:textId="77777777" w:rsidR="003E51D9" w:rsidRPr="00644D4E" w:rsidRDefault="00414448" w:rsidP="003E183A">
            <w:pPr>
              <w:spacing w:after="0" w:line="240" w:lineRule="auto"/>
              <w:jc w:val="center"/>
              <w:rPr>
                <w:rFonts w:ascii="Times New Roman" w:hAnsi="Times New Roman" w:cs="Times New Roman"/>
                <w:sz w:val="18"/>
                <w:szCs w:val="18"/>
                <w:lang w:val="ro-RO"/>
              </w:rPr>
            </w:pPr>
            <w:r w:rsidRPr="00644D4E">
              <w:rPr>
                <w:rFonts w:ascii="Times New Roman" w:hAnsi="Times New Roman" w:cs="Times New Roman"/>
                <w:sz w:val="18"/>
                <w:szCs w:val="18"/>
                <w:lang w:val="ro-RO"/>
              </w:rPr>
              <w:t>X</w:t>
            </w:r>
          </w:p>
        </w:tc>
        <w:tc>
          <w:tcPr>
            <w:tcW w:w="851" w:type="dxa"/>
            <w:shd w:val="clear" w:color="auto" w:fill="F2DBDB" w:themeFill="accent2" w:themeFillTint="33"/>
          </w:tcPr>
          <w:p w14:paraId="3583FF33" w14:textId="77777777" w:rsidR="002C7B9C" w:rsidRPr="00644D4E" w:rsidRDefault="002C7B9C" w:rsidP="003E183A">
            <w:pPr>
              <w:spacing w:after="0" w:line="240" w:lineRule="auto"/>
              <w:jc w:val="center"/>
              <w:rPr>
                <w:rFonts w:ascii="Times New Roman" w:hAnsi="Times New Roman" w:cs="Times New Roman"/>
                <w:sz w:val="18"/>
                <w:szCs w:val="18"/>
                <w:lang w:val="ro-RO"/>
              </w:rPr>
            </w:pPr>
          </w:p>
          <w:p w14:paraId="23E22663" w14:textId="77777777" w:rsidR="003E51D9" w:rsidRPr="00644D4E" w:rsidRDefault="002C7B9C" w:rsidP="0064706E">
            <w:pPr>
              <w:spacing w:after="0" w:line="240" w:lineRule="auto"/>
              <w:jc w:val="center"/>
              <w:rPr>
                <w:rFonts w:ascii="Times New Roman" w:hAnsi="Times New Roman" w:cs="Times New Roman"/>
                <w:sz w:val="18"/>
                <w:szCs w:val="18"/>
                <w:lang w:val="ro-RO"/>
              </w:rPr>
            </w:pPr>
            <w:r w:rsidRPr="00644D4E">
              <w:rPr>
                <w:rFonts w:ascii="Times New Roman" w:hAnsi="Times New Roman" w:cs="Times New Roman"/>
                <w:sz w:val="18"/>
                <w:szCs w:val="18"/>
                <w:lang w:val="ro-RO"/>
              </w:rPr>
              <w:t>3</w:t>
            </w:r>
            <w:r w:rsidR="0064706E" w:rsidRPr="00644D4E">
              <w:rPr>
                <w:rFonts w:ascii="Times New Roman" w:hAnsi="Times New Roman" w:cs="Times New Roman"/>
                <w:sz w:val="18"/>
                <w:szCs w:val="18"/>
                <w:lang w:val="ro-RO"/>
              </w:rPr>
              <w:t>0</w:t>
            </w:r>
            <w:r w:rsidRPr="00644D4E">
              <w:rPr>
                <w:rFonts w:ascii="Times New Roman" w:hAnsi="Times New Roman" w:cs="Times New Roman"/>
                <w:sz w:val="18"/>
                <w:szCs w:val="18"/>
                <w:lang w:val="ro-RO"/>
              </w:rPr>
              <w:t>,</w:t>
            </w:r>
            <w:r w:rsidR="0064706E" w:rsidRPr="00644D4E">
              <w:rPr>
                <w:rFonts w:ascii="Times New Roman" w:hAnsi="Times New Roman" w:cs="Times New Roman"/>
                <w:sz w:val="18"/>
                <w:szCs w:val="18"/>
                <w:lang w:val="ro-RO"/>
              </w:rPr>
              <w:t>0</w:t>
            </w:r>
          </w:p>
        </w:tc>
        <w:tc>
          <w:tcPr>
            <w:tcW w:w="850" w:type="dxa"/>
            <w:shd w:val="clear" w:color="auto" w:fill="F2DBDB" w:themeFill="accent2" w:themeFillTint="33"/>
          </w:tcPr>
          <w:p w14:paraId="35E77C28" w14:textId="77777777" w:rsidR="00D4472D" w:rsidRPr="00644D4E" w:rsidRDefault="00D4472D" w:rsidP="003E183A">
            <w:pPr>
              <w:spacing w:after="0" w:line="240" w:lineRule="auto"/>
              <w:jc w:val="center"/>
              <w:rPr>
                <w:rFonts w:ascii="Times New Roman" w:hAnsi="Times New Roman" w:cs="Times New Roman"/>
                <w:sz w:val="18"/>
                <w:szCs w:val="18"/>
                <w:lang w:val="ro-RO"/>
              </w:rPr>
            </w:pPr>
          </w:p>
          <w:p w14:paraId="0C92DC5B" w14:textId="77777777" w:rsidR="003E51D9" w:rsidRPr="00644D4E" w:rsidRDefault="004C76EA" w:rsidP="003E183A">
            <w:pPr>
              <w:spacing w:after="0" w:line="240" w:lineRule="auto"/>
              <w:jc w:val="center"/>
              <w:rPr>
                <w:rFonts w:ascii="Times New Roman" w:hAnsi="Times New Roman" w:cs="Times New Roman"/>
                <w:sz w:val="18"/>
                <w:szCs w:val="18"/>
                <w:lang w:val="ro-RO"/>
              </w:rPr>
            </w:pPr>
            <w:r w:rsidRPr="00644D4E">
              <w:rPr>
                <w:rFonts w:ascii="Times New Roman" w:hAnsi="Times New Roman" w:cs="Times New Roman"/>
                <w:sz w:val="18"/>
                <w:szCs w:val="18"/>
                <w:lang w:val="ro-RO"/>
              </w:rPr>
              <w:t>28,1</w:t>
            </w:r>
          </w:p>
        </w:tc>
      </w:tr>
    </w:tbl>
    <w:p w14:paraId="4E36BC2A" w14:textId="77777777" w:rsidR="00C50972" w:rsidRPr="00644D4E" w:rsidRDefault="00C616A6" w:rsidP="00C50972">
      <w:pPr>
        <w:spacing w:after="0" w:line="276" w:lineRule="auto"/>
        <w:rPr>
          <w:rFonts w:ascii="Times New Roman" w:hAnsi="Times New Roman" w:cs="Times New Roman"/>
          <w:sz w:val="16"/>
          <w:szCs w:val="16"/>
          <w:lang w:val="ro-RO"/>
        </w:rPr>
      </w:pPr>
      <w:r w:rsidRPr="00644D4E">
        <w:rPr>
          <w:rFonts w:ascii="Times New Roman" w:hAnsi="Times New Roman" w:cs="Times New Roman"/>
          <w:sz w:val="16"/>
          <w:szCs w:val="16"/>
          <w:lang w:val="ro-RO"/>
        </w:rPr>
        <w:t xml:space="preserve">                   </w:t>
      </w:r>
      <w:r w:rsidR="00C50972" w:rsidRPr="00644D4E">
        <w:rPr>
          <w:rFonts w:ascii="Times New Roman" w:hAnsi="Times New Roman" w:cs="Times New Roman"/>
          <w:sz w:val="16"/>
          <w:szCs w:val="16"/>
          <w:lang w:val="ro-RO"/>
        </w:rPr>
        <w:t>Sursa: Baza de date ANOFM</w:t>
      </w:r>
    </w:p>
    <w:p w14:paraId="24DD63E9" w14:textId="77777777" w:rsidR="00C50972" w:rsidRPr="00644D4E" w:rsidRDefault="00C50972" w:rsidP="00433A2B">
      <w:pPr>
        <w:spacing w:after="120" w:line="240" w:lineRule="auto"/>
        <w:ind w:left="284"/>
        <w:jc w:val="both"/>
        <w:rPr>
          <w:rFonts w:ascii="Times New Roman" w:hAnsi="Times New Roman" w:cs="Times New Roman"/>
          <w:sz w:val="24"/>
          <w:szCs w:val="24"/>
          <w:lang w:val="ro-RO"/>
        </w:rPr>
      </w:pPr>
      <w:r w:rsidRPr="00644D4E">
        <w:rPr>
          <w:rFonts w:ascii="Times New Roman" w:hAnsi="Times New Roman" w:cs="Times New Roman"/>
          <w:sz w:val="24"/>
          <w:szCs w:val="24"/>
          <w:lang w:val="ro-RO"/>
        </w:rPr>
        <w:t>Comparativ cu anul precedent</w:t>
      </w:r>
      <w:r w:rsidR="00350F6A" w:rsidRPr="00644D4E">
        <w:rPr>
          <w:rFonts w:ascii="Times New Roman" w:hAnsi="Times New Roman" w:cs="Times New Roman"/>
          <w:sz w:val="24"/>
          <w:szCs w:val="24"/>
          <w:lang w:val="ro-RO"/>
        </w:rPr>
        <w:t xml:space="preserve"> (Tabelul 1)</w:t>
      </w:r>
      <w:r w:rsidRPr="00644D4E">
        <w:rPr>
          <w:rFonts w:ascii="Times New Roman" w:hAnsi="Times New Roman" w:cs="Times New Roman"/>
          <w:sz w:val="24"/>
          <w:szCs w:val="24"/>
          <w:lang w:val="ro-RO"/>
        </w:rPr>
        <w:t xml:space="preserve"> </w:t>
      </w:r>
      <w:r w:rsidR="00401616" w:rsidRPr="00644D4E">
        <w:rPr>
          <w:rFonts w:ascii="Times New Roman" w:hAnsi="Times New Roman" w:cs="Times New Roman"/>
          <w:sz w:val="24"/>
          <w:szCs w:val="24"/>
          <w:lang w:val="ro-RO"/>
        </w:rPr>
        <w:t xml:space="preserve">a crescut cererea la </w:t>
      </w:r>
      <w:r w:rsidR="00B3131A" w:rsidRPr="00644D4E">
        <w:rPr>
          <w:rFonts w:ascii="Times New Roman" w:hAnsi="Times New Roman" w:cs="Times New Roman"/>
          <w:i/>
          <w:sz w:val="24"/>
          <w:szCs w:val="24"/>
          <w:lang w:val="ro-RO"/>
        </w:rPr>
        <w:t xml:space="preserve">Muncitori </w:t>
      </w:r>
      <w:r w:rsidR="00401616" w:rsidRPr="00644D4E">
        <w:rPr>
          <w:rFonts w:ascii="Times New Roman" w:hAnsi="Times New Roman" w:cs="Times New Roman"/>
          <w:i/>
          <w:sz w:val="24"/>
          <w:szCs w:val="24"/>
          <w:lang w:val="ro-RO"/>
        </w:rPr>
        <w:t>ne</w:t>
      </w:r>
      <w:r w:rsidR="00B3131A" w:rsidRPr="00644D4E">
        <w:rPr>
          <w:rFonts w:ascii="Times New Roman" w:hAnsi="Times New Roman" w:cs="Times New Roman"/>
          <w:i/>
          <w:sz w:val="24"/>
          <w:szCs w:val="24"/>
          <w:lang w:val="ro-RO"/>
        </w:rPr>
        <w:t xml:space="preserve">calificați cu </w:t>
      </w:r>
      <w:r w:rsidR="00401616" w:rsidRPr="00644D4E">
        <w:rPr>
          <w:rFonts w:ascii="Times New Roman" w:hAnsi="Times New Roman" w:cs="Times New Roman"/>
          <w:i/>
          <w:sz w:val="24"/>
          <w:szCs w:val="24"/>
          <w:lang w:val="ro-RO"/>
        </w:rPr>
        <w:t>9</w:t>
      </w:r>
      <w:r w:rsidR="00B3131A" w:rsidRPr="00644D4E">
        <w:rPr>
          <w:rFonts w:ascii="Times New Roman" w:hAnsi="Times New Roman" w:cs="Times New Roman"/>
          <w:i/>
          <w:sz w:val="24"/>
          <w:szCs w:val="24"/>
          <w:lang w:val="ro-RO"/>
        </w:rPr>
        <w:t xml:space="preserve"> </w:t>
      </w:r>
      <w:proofErr w:type="spellStart"/>
      <w:r w:rsidR="00B3131A" w:rsidRPr="00644D4E">
        <w:rPr>
          <w:rFonts w:ascii="Times New Roman" w:hAnsi="Times New Roman" w:cs="Times New Roman"/>
          <w:i/>
          <w:sz w:val="24"/>
          <w:szCs w:val="24"/>
          <w:lang w:val="ro-RO"/>
        </w:rPr>
        <w:t>p.p.</w:t>
      </w:r>
      <w:proofErr w:type="spellEnd"/>
      <w:r w:rsidR="00B3131A" w:rsidRPr="00644D4E">
        <w:rPr>
          <w:rFonts w:ascii="Times New Roman" w:hAnsi="Times New Roman" w:cs="Times New Roman"/>
          <w:i/>
          <w:sz w:val="24"/>
          <w:szCs w:val="24"/>
          <w:lang w:val="ro-RO"/>
        </w:rPr>
        <w:t xml:space="preserve">, </w:t>
      </w:r>
      <w:r w:rsidR="00401616" w:rsidRPr="00644D4E">
        <w:rPr>
          <w:rFonts w:ascii="Times New Roman" w:hAnsi="Times New Roman" w:cs="Times New Roman"/>
          <w:sz w:val="24"/>
          <w:szCs w:val="24"/>
          <w:lang w:val="ro-RO"/>
        </w:rPr>
        <w:t xml:space="preserve">iar la </w:t>
      </w:r>
      <w:r w:rsidR="00401616" w:rsidRPr="00644D4E">
        <w:rPr>
          <w:rFonts w:ascii="Times New Roman" w:hAnsi="Times New Roman" w:cs="Times New Roman"/>
          <w:i/>
          <w:sz w:val="24"/>
          <w:szCs w:val="24"/>
          <w:lang w:val="ro-RO"/>
        </w:rPr>
        <w:t>Muncitori calificați</w:t>
      </w:r>
      <w:r w:rsidR="00401616" w:rsidRPr="00644D4E">
        <w:rPr>
          <w:rFonts w:ascii="Times New Roman" w:hAnsi="Times New Roman" w:cs="Times New Roman"/>
          <w:sz w:val="24"/>
          <w:szCs w:val="24"/>
          <w:lang w:val="ro-RO"/>
        </w:rPr>
        <w:t xml:space="preserve"> a scăzut cu cca 4 </w:t>
      </w:r>
      <w:proofErr w:type="spellStart"/>
      <w:r w:rsidR="00401616" w:rsidRPr="00644D4E">
        <w:rPr>
          <w:rFonts w:ascii="Times New Roman" w:hAnsi="Times New Roman" w:cs="Times New Roman"/>
          <w:sz w:val="24"/>
          <w:szCs w:val="24"/>
          <w:lang w:val="ro-RO"/>
        </w:rPr>
        <w:t>p.p</w:t>
      </w:r>
      <w:proofErr w:type="spellEnd"/>
      <w:r w:rsidR="004C10FB" w:rsidRPr="00644D4E">
        <w:rPr>
          <w:rFonts w:ascii="Times New Roman" w:hAnsi="Times New Roman" w:cs="Times New Roman"/>
          <w:sz w:val="24"/>
          <w:szCs w:val="24"/>
          <w:lang w:val="ro-RO"/>
        </w:rPr>
        <w:t>,</w:t>
      </w:r>
      <w:r w:rsidR="00401616" w:rsidRPr="00644D4E">
        <w:rPr>
          <w:rFonts w:ascii="Times New Roman" w:hAnsi="Times New Roman" w:cs="Times New Roman"/>
          <w:i/>
          <w:sz w:val="24"/>
          <w:szCs w:val="24"/>
          <w:lang w:val="ro-RO"/>
        </w:rPr>
        <w:t xml:space="preserve"> </w:t>
      </w:r>
      <w:r w:rsidRPr="00644D4E">
        <w:rPr>
          <w:rFonts w:ascii="Times New Roman" w:hAnsi="Times New Roman" w:cs="Times New Roman"/>
          <w:i/>
          <w:sz w:val="24"/>
          <w:szCs w:val="24"/>
          <w:lang w:val="ro-RO"/>
        </w:rPr>
        <w:t xml:space="preserve">ceea </w:t>
      </w:r>
      <w:r w:rsidRPr="00644D4E">
        <w:rPr>
          <w:rFonts w:ascii="Times New Roman" w:hAnsi="Times New Roman" w:cs="Times New Roman"/>
          <w:sz w:val="24"/>
          <w:szCs w:val="24"/>
          <w:lang w:val="ro-RO"/>
        </w:rPr>
        <w:t xml:space="preserve">ce semnalează o sporire a solicitării </w:t>
      </w:r>
      <w:r w:rsidR="00B3131A" w:rsidRPr="00644D4E">
        <w:rPr>
          <w:rFonts w:ascii="Times New Roman" w:hAnsi="Times New Roman" w:cs="Times New Roman"/>
          <w:sz w:val="24"/>
          <w:szCs w:val="24"/>
          <w:lang w:val="ro-RO"/>
        </w:rPr>
        <w:t xml:space="preserve">forței de muncă </w:t>
      </w:r>
      <w:r w:rsidR="00401616" w:rsidRPr="00644D4E">
        <w:rPr>
          <w:rFonts w:ascii="Times New Roman" w:hAnsi="Times New Roman" w:cs="Times New Roman"/>
          <w:sz w:val="24"/>
          <w:szCs w:val="24"/>
          <w:lang w:val="ro-RO"/>
        </w:rPr>
        <w:t>ne</w:t>
      </w:r>
      <w:r w:rsidR="00B3131A" w:rsidRPr="00644D4E">
        <w:rPr>
          <w:rFonts w:ascii="Times New Roman" w:hAnsi="Times New Roman" w:cs="Times New Roman"/>
          <w:sz w:val="24"/>
          <w:szCs w:val="24"/>
          <w:lang w:val="ro-RO"/>
        </w:rPr>
        <w:t>calificate</w:t>
      </w:r>
      <w:r w:rsidR="00401616" w:rsidRPr="00644D4E">
        <w:rPr>
          <w:rFonts w:ascii="Times New Roman" w:hAnsi="Times New Roman" w:cs="Times New Roman"/>
          <w:sz w:val="24"/>
          <w:szCs w:val="24"/>
          <w:lang w:val="ro-RO"/>
        </w:rPr>
        <w:t xml:space="preserve"> pe piața muncii.</w:t>
      </w:r>
    </w:p>
    <w:p w14:paraId="5C4EB484" w14:textId="7A74F354" w:rsidR="00C50972" w:rsidRPr="00644D4E" w:rsidRDefault="00C50972" w:rsidP="00433A2B">
      <w:pPr>
        <w:spacing w:after="120" w:line="240" w:lineRule="auto"/>
        <w:ind w:left="284"/>
        <w:jc w:val="both"/>
        <w:rPr>
          <w:rFonts w:ascii="Times New Roman" w:hAnsi="Times New Roman" w:cs="Times New Roman"/>
          <w:sz w:val="24"/>
          <w:szCs w:val="24"/>
          <w:lang w:val="ro-RO"/>
        </w:rPr>
      </w:pPr>
      <w:r w:rsidRPr="00644D4E">
        <w:rPr>
          <w:rFonts w:ascii="Times New Roman" w:hAnsi="Times New Roman" w:cs="Times New Roman"/>
          <w:sz w:val="24"/>
          <w:szCs w:val="24"/>
          <w:lang w:val="ro-RO"/>
        </w:rPr>
        <w:t>Principalele ocupații/meserii în care s-a înregistrat un număr semnificativ de locu</w:t>
      </w:r>
      <w:r w:rsidR="00B3131A" w:rsidRPr="00644D4E">
        <w:rPr>
          <w:rFonts w:ascii="Times New Roman" w:hAnsi="Times New Roman" w:cs="Times New Roman"/>
          <w:sz w:val="24"/>
          <w:szCs w:val="24"/>
          <w:lang w:val="ro-RO"/>
        </w:rPr>
        <w:t>ri de muncă vacante în anul 202</w:t>
      </w:r>
      <w:r w:rsidR="00401616" w:rsidRPr="00644D4E">
        <w:rPr>
          <w:rFonts w:ascii="Times New Roman" w:hAnsi="Times New Roman" w:cs="Times New Roman"/>
          <w:sz w:val="24"/>
          <w:szCs w:val="24"/>
          <w:lang w:val="ro-RO"/>
        </w:rPr>
        <w:t>3</w:t>
      </w:r>
      <w:r w:rsidRPr="00644D4E">
        <w:rPr>
          <w:rFonts w:ascii="Times New Roman" w:hAnsi="Times New Roman" w:cs="Times New Roman"/>
          <w:sz w:val="24"/>
          <w:szCs w:val="24"/>
          <w:lang w:val="ro-RO"/>
        </w:rPr>
        <w:t xml:space="preserve">, dar și au fost declarate de angajatori în mod repetat pe parcursul anului au fost: </w:t>
      </w:r>
      <w:proofErr w:type="spellStart"/>
      <w:r w:rsidRPr="00644D4E">
        <w:rPr>
          <w:rFonts w:ascii="Times New Roman" w:hAnsi="Times New Roman" w:cs="Times New Roman"/>
          <w:sz w:val="24"/>
          <w:szCs w:val="24"/>
          <w:lang w:val="ro-RO"/>
        </w:rPr>
        <w:t>cusător</w:t>
      </w:r>
      <w:proofErr w:type="spellEnd"/>
      <w:r w:rsidR="00433A2B" w:rsidRPr="00644D4E">
        <w:rPr>
          <w:rFonts w:ascii="Times New Roman" w:hAnsi="Times New Roman" w:cs="Times New Roman"/>
          <w:sz w:val="24"/>
          <w:szCs w:val="24"/>
          <w:lang w:val="ro-RO"/>
        </w:rPr>
        <w:t>/</w:t>
      </w:r>
      <w:r w:rsidR="00FC278C" w:rsidRPr="00644D4E">
        <w:rPr>
          <w:rFonts w:ascii="Times New Roman" w:hAnsi="Times New Roman" w:cs="Times New Roman"/>
          <w:sz w:val="24"/>
          <w:szCs w:val="24"/>
          <w:lang w:val="ro-RO"/>
        </w:rPr>
        <w:t>cusătoreasă</w:t>
      </w:r>
      <w:r w:rsidRPr="00644D4E">
        <w:rPr>
          <w:rFonts w:ascii="Times New Roman" w:hAnsi="Times New Roman" w:cs="Times New Roman"/>
          <w:sz w:val="24"/>
          <w:szCs w:val="24"/>
          <w:lang w:val="ro-RO"/>
        </w:rPr>
        <w:t>, conducător</w:t>
      </w:r>
      <w:r w:rsidR="00FC278C" w:rsidRPr="00644D4E">
        <w:rPr>
          <w:rFonts w:ascii="Times New Roman" w:hAnsi="Times New Roman" w:cs="Times New Roman"/>
          <w:sz w:val="24"/>
          <w:szCs w:val="24"/>
          <w:lang w:val="ro-RO"/>
        </w:rPr>
        <w:t>/conducătoare</w:t>
      </w:r>
      <w:r w:rsidRPr="00644D4E">
        <w:rPr>
          <w:rFonts w:ascii="Times New Roman" w:hAnsi="Times New Roman" w:cs="Times New Roman"/>
          <w:sz w:val="24"/>
          <w:szCs w:val="24"/>
          <w:lang w:val="ro-RO"/>
        </w:rPr>
        <w:t xml:space="preserve"> auto, vânzător</w:t>
      </w:r>
      <w:r w:rsidR="00FC278C" w:rsidRPr="00644D4E">
        <w:rPr>
          <w:rFonts w:ascii="Times New Roman" w:hAnsi="Times New Roman" w:cs="Times New Roman"/>
          <w:sz w:val="24"/>
          <w:szCs w:val="24"/>
          <w:lang w:val="ro-RO"/>
        </w:rPr>
        <w:t>/vânzătoare</w:t>
      </w:r>
      <w:r w:rsidRPr="00644D4E">
        <w:rPr>
          <w:rFonts w:ascii="Times New Roman" w:hAnsi="Times New Roman" w:cs="Times New Roman"/>
          <w:sz w:val="24"/>
          <w:szCs w:val="24"/>
          <w:lang w:val="ro-RO"/>
        </w:rPr>
        <w:t>, medic și asistent medical</w:t>
      </w:r>
      <w:r w:rsidR="00FC278C" w:rsidRPr="00644D4E">
        <w:rPr>
          <w:rFonts w:ascii="Times New Roman" w:hAnsi="Times New Roman" w:cs="Times New Roman"/>
          <w:sz w:val="24"/>
          <w:szCs w:val="24"/>
          <w:lang w:val="ro-RO"/>
        </w:rPr>
        <w:t>/asistentă medicală</w:t>
      </w:r>
      <w:r w:rsidRPr="00644D4E">
        <w:rPr>
          <w:rFonts w:ascii="Times New Roman" w:hAnsi="Times New Roman" w:cs="Times New Roman"/>
          <w:sz w:val="24"/>
          <w:szCs w:val="24"/>
          <w:lang w:val="ro-RO"/>
        </w:rPr>
        <w:t>, bucătar</w:t>
      </w:r>
      <w:r w:rsidR="00FC278C" w:rsidRPr="00644D4E">
        <w:rPr>
          <w:rFonts w:ascii="Times New Roman" w:hAnsi="Times New Roman" w:cs="Times New Roman"/>
          <w:sz w:val="24"/>
          <w:szCs w:val="24"/>
          <w:lang w:val="ro-RO"/>
        </w:rPr>
        <w:t>/bucătăreasă</w:t>
      </w:r>
      <w:r w:rsidRPr="00644D4E">
        <w:rPr>
          <w:rFonts w:ascii="Times New Roman" w:hAnsi="Times New Roman" w:cs="Times New Roman"/>
          <w:sz w:val="24"/>
          <w:szCs w:val="24"/>
          <w:lang w:val="ro-RO"/>
        </w:rPr>
        <w:t xml:space="preserve">, </w:t>
      </w:r>
      <w:proofErr w:type="spellStart"/>
      <w:r w:rsidRPr="00644D4E">
        <w:rPr>
          <w:rFonts w:ascii="Times New Roman" w:hAnsi="Times New Roman" w:cs="Times New Roman"/>
          <w:sz w:val="24"/>
          <w:szCs w:val="24"/>
          <w:lang w:val="ro-RO"/>
        </w:rPr>
        <w:t>electrogazosudor</w:t>
      </w:r>
      <w:proofErr w:type="spellEnd"/>
      <w:r w:rsidRPr="00644D4E">
        <w:rPr>
          <w:rFonts w:ascii="Times New Roman" w:hAnsi="Times New Roman" w:cs="Times New Roman"/>
          <w:sz w:val="24"/>
          <w:szCs w:val="24"/>
          <w:lang w:val="ro-RO"/>
        </w:rPr>
        <w:t>, contabil</w:t>
      </w:r>
      <w:r w:rsidR="00FC278C" w:rsidRPr="00644D4E">
        <w:rPr>
          <w:rFonts w:ascii="Times New Roman" w:hAnsi="Times New Roman" w:cs="Times New Roman"/>
          <w:sz w:val="24"/>
          <w:szCs w:val="24"/>
          <w:lang w:val="ro-RO"/>
        </w:rPr>
        <w:t>/contabilă</w:t>
      </w:r>
      <w:r w:rsidRPr="00644D4E">
        <w:rPr>
          <w:rFonts w:ascii="Times New Roman" w:hAnsi="Times New Roman" w:cs="Times New Roman"/>
          <w:sz w:val="24"/>
          <w:szCs w:val="24"/>
          <w:lang w:val="ro-RO"/>
        </w:rPr>
        <w:t>, precum și muncitor necalificat</w:t>
      </w:r>
      <w:r w:rsidR="00FC278C" w:rsidRPr="00644D4E">
        <w:rPr>
          <w:rFonts w:ascii="Times New Roman" w:hAnsi="Times New Roman" w:cs="Times New Roman"/>
          <w:sz w:val="24"/>
          <w:szCs w:val="24"/>
          <w:lang w:val="ro-RO"/>
        </w:rPr>
        <w:t>/muncitoare necalificată</w:t>
      </w:r>
      <w:r w:rsidRPr="00644D4E">
        <w:rPr>
          <w:rFonts w:ascii="Times New Roman" w:hAnsi="Times New Roman" w:cs="Times New Roman"/>
          <w:sz w:val="24"/>
          <w:szCs w:val="24"/>
          <w:lang w:val="ro-RO"/>
        </w:rPr>
        <w:t>, hamal. Aceleași ocupații/meserii s</w:t>
      </w:r>
      <w:r w:rsidR="00B3131A" w:rsidRPr="00644D4E">
        <w:rPr>
          <w:rFonts w:ascii="Times New Roman" w:hAnsi="Times New Roman" w:cs="Times New Roman"/>
          <w:sz w:val="24"/>
          <w:szCs w:val="24"/>
          <w:lang w:val="ro-RO"/>
        </w:rPr>
        <w:t>-au</w:t>
      </w:r>
      <w:r w:rsidRPr="00644D4E">
        <w:rPr>
          <w:rFonts w:ascii="Times New Roman" w:hAnsi="Times New Roman" w:cs="Times New Roman"/>
          <w:sz w:val="24"/>
          <w:szCs w:val="24"/>
          <w:lang w:val="ro-RO"/>
        </w:rPr>
        <w:t xml:space="preserve"> regăs</w:t>
      </w:r>
      <w:r w:rsidR="00B3131A" w:rsidRPr="00644D4E">
        <w:rPr>
          <w:rFonts w:ascii="Times New Roman" w:hAnsi="Times New Roman" w:cs="Times New Roman"/>
          <w:sz w:val="24"/>
          <w:szCs w:val="24"/>
          <w:lang w:val="ro-RO"/>
        </w:rPr>
        <w:t>it</w:t>
      </w:r>
      <w:r w:rsidRPr="00644D4E">
        <w:rPr>
          <w:rFonts w:ascii="Times New Roman" w:hAnsi="Times New Roman" w:cs="Times New Roman"/>
          <w:sz w:val="24"/>
          <w:szCs w:val="24"/>
          <w:lang w:val="ro-RO"/>
        </w:rPr>
        <w:t xml:space="preserve"> </w:t>
      </w:r>
      <w:r w:rsidR="00B3131A" w:rsidRPr="00644D4E">
        <w:rPr>
          <w:rFonts w:ascii="Times New Roman" w:hAnsi="Times New Roman" w:cs="Times New Roman"/>
          <w:sz w:val="24"/>
          <w:szCs w:val="24"/>
          <w:lang w:val="ro-RO"/>
        </w:rPr>
        <w:t xml:space="preserve">în top </w:t>
      </w:r>
      <w:r w:rsidRPr="00644D4E">
        <w:rPr>
          <w:rFonts w:ascii="Times New Roman" w:hAnsi="Times New Roman" w:cs="Times New Roman"/>
          <w:sz w:val="24"/>
          <w:szCs w:val="24"/>
          <w:lang w:val="ro-RO"/>
        </w:rPr>
        <w:t>și în 202</w:t>
      </w:r>
      <w:r w:rsidR="00401616" w:rsidRPr="00644D4E">
        <w:rPr>
          <w:rFonts w:ascii="Times New Roman" w:hAnsi="Times New Roman" w:cs="Times New Roman"/>
          <w:sz w:val="24"/>
          <w:szCs w:val="24"/>
          <w:lang w:val="ro-RO"/>
        </w:rPr>
        <w:t>2</w:t>
      </w:r>
      <w:r w:rsidRPr="00644D4E">
        <w:rPr>
          <w:rFonts w:ascii="Times New Roman" w:hAnsi="Times New Roman" w:cs="Times New Roman"/>
          <w:sz w:val="24"/>
          <w:szCs w:val="24"/>
          <w:lang w:val="ro-RO"/>
        </w:rPr>
        <w:t>.</w:t>
      </w:r>
    </w:p>
    <w:p w14:paraId="2DFFD567" w14:textId="7E06CDF8" w:rsidR="00240A87" w:rsidRPr="00644D4E" w:rsidRDefault="00240A87" w:rsidP="001F1B9A">
      <w:pPr>
        <w:shd w:val="clear" w:color="auto" w:fill="FFFFFF"/>
        <w:spacing w:after="120" w:line="240" w:lineRule="auto"/>
        <w:ind w:left="284"/>
        <w:jc w:val="both"/>
        <w:rPr>
          <w:rFonts w:ascii="Times New Roman" w:eastAsia="Times New Roman" w:hAnsi="Times New Roman"/>
          <w:sz w:val="24"/>
          <w:szCs w:val="24"/>
          <w:lang w:val="ro-RO" w:eastAsia="ru-RU"/>
        </w:rPr>
      </w:pPr>
      <w:r w:rsidRPr="00644D4E">
        <w:rPr>
          <w:rFonts w:ascii="Times New Roman" w:eastAsia="Times New Roman" w:hAnsi="Times New Roman"/>
          <w:sz w:val="24"/>
          <w:szCs w:val="24"/>
          <w:lang w:val="ro-RO" w:eastAsia="ru-RU"/>
        </w:rPr>
        <w:t xml:space="preserve">Pe </w:t>
      </w:r>
      <w:r w:rsidRPr="00644D4E">
        <w:rPr>
          <w:rFonts w:ascii="Times New Roman" w:eastAsia="Times New Roman" w:hAnsi="Times New Roman"/>
          <w:b/>
          <w:sz w:val="24"/>
          <w:szCs w:val="24"/>
          <w:lang w:val="ro-RO" w:eastAsia="ru-RU"/>
        </w:rPr>
        <w:t>regiuni</w:t>
      </w:r>
      <w:r w:rsidRPr="00644D4E">
        <w:rPr>
          <w:rFonts w:ascii="Times New Roman" w:eastAsia="Times New Roman" w:hAnsi="Times New Roman"/>
          <w:sz w:val="24"/>
          <w:szCs w:val="24"/>
          <w:lang w:val="ro-RO" w:eastAsia="ru-RU"/>
        </w:rPr>
        <w:t xml:space="preserve"> o situație mai echilibrată între cerere și ofertă se constată în regiunile Sud și </w:t>
      </w:r>
      <w:r w:rsidR="007750D2" w:rsidRPr="00644D4E">
        <w:rPr>
          <w:rFonts w:ascii="Times New Roman" w:eastAsia="Times New Roman" w:hAnsi="Times New Roman"/>
          <w:sz w:val="24"/>
          <w:szCs w:val="24"/>
          <w:lang w:val="ro-RO" w:eastAsia="ru-RU"/>
        </w:rPr>
        <w:t>Centru</w:t>
      </w:r>
      <w:r w:rsidRPr="00644D4E">
        <w:rPr>
          <w:rFonts w:ascii="Times New Roman" w:eastAsia="Times New Roman" w:hAnsi="Times New Roman"/>
          <w:sz w:val="24"/>
          <w:szCs w:val="24"/>
          <w:lang w:val="ro-RO" w:eastAsia="ru-RU"/>
        </w:rPr>
        <w:t xml:space="preserve">, iar în regiunile </w:t>
      </w:r>
      <w:r w:rsidR="004C10FB" w:rsidRPr="00644D4E">
        <w:rPr>
          <w:rFonts w:ascii="Times New Roman" w:eastAsia="Times New Roman" w:hAnsi="Times New Roman"/>
          <w:sz w:val="24"/>
          <w:szCs w:val="24"/>
          <w:lang w:val="ro-RO" w:eastAsia="ru-RU"/>
        </w:rPr>
        <w:t xml:space="preserve">mun. </w:t>
      </w:r>
      <w:r w:rsidRPr="00644D4E">
        <w:rPr>
          <w:rFonts w:ascii="Times New Roman" w:eastAsia="Times New Roman" w:hAnsi="Times New Roman"/>
          <w:sz w:val="24"/>
          <w:szCs w:val="24"/>
          <w:lang w:val="ro-RO" w:eastAsia="ru-RU"/>
        </w:rPr>
        <w:t xml:space="preserve">Chișinău și Nord se atestă o discrepanță semnificativă între cerere și ofertă (Figura </w:t>
      </w:r>
      <w:r w:rsidR="007750D2" w:rsidRPr="00644D4E">
        <w:rPr>
          <w:rFonts w:ascii="Times New Roman" w:eastAsia="Times New Roman" w:hAnsi="Times New Roman"/>
          <w:sz w:val="24"/>
          <w:szCs w:val="24"/>
          <w:lang w:val="ro-RO" w:eastAsia="ru-RU"/>
        </w:rPr>
        <w:t>2.3.3.3.</w:t>
      </w:r>
      <w:r w:rsidRPr="00644D4E">
        <w:rPr>
          <w:rFonts w:ascii="Times New Roman" w:eastAsia="Times New Roman" w:hAnsi="Times New Roman"/>
          <w:sz w:val="24"/>
          <w:szCs w:val="24"/>
          <w:lang w:val="ro-RO" w:eastAsia="ru-RU"/>
        </w:rPr>
        <w:t>).</w:t>
      </w:r>
    </w:p>
    <w:p w14:paraId="4AAAA22A" w14:textId="77777777" w:rsidR="00240A87" w:rsidRPr="00644D4E" w:rsidRDefault="00240A87" w:rsidP="004C6FFA">
      <w:pPr>
        <w:shd w:val="clear" w:color="auto" w:fill="FFFFFF"/>
        <w:spacing w:after="60" w:line="240" w:lineRule="auto"/>
        <w:jc w:val="center"/>
        <w:rPr>
          <w:rFonts w:ascii="Cambria" w:eastAsia="Times New Roman" w:hAnsi="Cambria"/>
          <w:b/>
          <w:i/>
          <w:lang w:val="ro-RO" w:eastAsia="ru-RU"/>
        </w:rPr>
      </w:pPr>
      <w:r w:rsidRPr="00644D4E">
        <w:rPr>
          <w:rFonts w:ascii="Times New Roman" w:eastAsia="Times New Roman" w:hAnsi="Times New Roman"/>
          <w:b/>
          <w:i/>
          <w:lang w:val="ro-RO" w:eastAsia="ru-RU"/>
        </w:rPr>
        <w:t xml:space="preserve">Fig. </w:t>
      </w:r>
      <w:r w:rsidR="007750D2" w:rsidRPr="00644D4E">
        <w:rPr>
          <w:rFonts w:ascii="Times New Roman" w:eastAsia="Times New Roman" w:hAnsi="Times New Roman"/>
          <w:b/>
          <w:i/>
          <w:lang w:val="ro-RO" w:eastAsia="ru-RU"/>
        </w:rPr>
        <w:t>2.3.3.3</w:t>
      </w:r>
      <w:r w:rsidRPr="00644D4E">
        <w:rPr>
          <w:rFonts w:ascii="Times New Roman" w:eastAsia="Times New Roman" w:hAnsi="Times New Roman"/>
          <w:b/>
          <w:i/>
          <w:lang w:val="ro-RO" w:eastAsia="ru-RU"/>
        </w:rPr>
        <w:t>. Distribuția locurilor de muncă vacante și a șomerilor pe regiuni</w:t>
      </w:r>
    </w:p>
    <w:p w14:paraId="0F1C059E" w14:textId="77777777" w:rsidR="00240A87" w:rsidRPr="00644D4E" w:rsidRDefault="00240A87" w:rsidP="002E5D55">
      <w:pPr>
        <w:spacing w:after="60" w:line="240" w:lineRule="auto"/>
        <w:jc w:val="center"/>
        <w:rPr>
          <w:rFonts w:ascii="Cambria" w:hAnsi="Cambria" w:cs="Arial"/>
          <w:i/>
          <w:sz w:val="28"/>
          <w:szCs w:val="28"/>
          <w:lang w:val="ro-RO"/>
        </w:rPr>
      </w:pPr>
      <w:r w:rsidRPr="00644D4E">
        <w:rPr>
          <w:b/>
          <w:lang w:val="ro-RO"/>
        </w:rPr>
        <w:drawing>
          <wp:inline distT="0" distB="0" distL="0" distR="0" wp14:anchorId="0EBDA8AF" wp14:editId="1CFD0610">
            <wp:extent cx="4196715" cy="1448435"/>
            <wp:effectExtent l="0" t="0" r="0" b="0"/>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41104881" w14:textId="77777777" w:rsidR="00B26F31" w:rsidRPr="00644D4E" w:rsidRDefault="00B26F31" w:rsidP="00240A87">
      <w:pPr>
        <w:spacing w:after="120" w:line="240" w:lineRule="auto"/>
        <w:jc w:val="both"/>
        <w:rPr>
          <w:rFonts w:ascii="Times New Roman" w:hAnsi="Times New Roman"/>
          <w:sz w:val="16"/>
          <w:szCs w:val="16"/>
          <w:lang w:val="ro-RO"/>
        </w:rPr>
      </w:pPr>
      <w:r w:rsidRPr="00644D4E">
        <w:rPr>
          <w:rFonts w:ascii="Times New Roman" w:hAnsi="Times New Roman"/>
          <w:sz w:val="28"/>
          <w:szCs w:val="28"/>
          <w:lang w:val="ro-RO"/>
        </w:rPr>
        <w:t xml:space="preserve">                     </w:t>
      </w:r>
      <w:r w:rsidRPr="00644D4E">
        <w:rPr>
          <w:rFonts w:ascii="Times New Roman" w:hAnsi="Times New Roman"/>
          <w:sz w:val="16"/>
          <w:szCs w:val="16"/>
          <w:lang w:val="ro-RO"/>
        </w:rPr>
        <w:t>Sursa: Baza de date ANOFM</w:t>
      </w:r>
    </w:p>
    <w:p w14:paraId="28BA48FE" w14:textId="289E6DCE" w:rsidR="00C50972" w:rsidRPr="00644D4E" w:rsidRDefault="00EB3FFA" w:rsidP="0030738E">
      <w:pPr>
        <w:pStyle w:val="NoSpacing"/>
        <w:spacing w:after="120"/>
        <w:ind w:left="284"/>
        <w:jc w:val="both"/>
        <w:rPr>
          <w:rFonts w:asciiTheme="majorBidi" w:hAnsiTheme="majorBidi" w:cstheme="majorBidi"/>
          <w:sz w:val="24"/>
          <w:szCs w:val="24"/>
          <w:lang w:val="ro-RO"/>
        </w:rPr>
      </w:pPr>
      <w:r w:rsidRPr="00644D4E">
        <w:rPr>
          <w:rFonts w:asciiTheme="majorBidi" w:hAnsiTheme="majorBidi" w:cstheme="majorBidi"/>
          <w:sz w:val="24"/>
          <w:szCs w:val="24"/>
          <w:lang w:val="ro-RO"/>
        </w:rPr>
        <w:t xml:space="preserve">Între cererea (locuri vacante) și oferta forței de muncă (șomerii) pe ocupații dezagregate pe raioane există o discrepanță atât din punct de vedere geografic, cât și în ceea ce privește competențele forței de muncă și cele solicitate de angajatori. </w:t>
      </w:r>
      <w:r w:rsidR="005E3C61" w:rsidRPr="00644D4E">
        <w:rPr>
          <w:rFonts w:asciiTheme="majorBidi" w:hAnsiTheme="majorBidi" w:cstheme="majorBidi"/>
          <w:sz w:val="24"/>
          <w:szCs w:val="24"/>
          <w:lang w:val="ro-RO"/>
        </w:rPr>
        <w:t xml:space="preserve">Un echilibru între cererea și oferta forței de muncă a fost în raioanele Cantemir, Criuleni, Șoldănești și Ștefan Vodă. </w:t>
      </w:r>
      <w:r w:rsidRPr="00644D4E">
        <w:rPr>
          <w:rFonts w:asciiTheme="majorBidi" w:hAnsiTheme="majorBidi" w:cstheme="majorBidi"/>
          <w:sz w:val="24"/>
          <w:szCs w:val="24"/>
          <w:lang w:val="ro-RO"/>
        </w:rPr>
        <w:t xml:space="preserve">O discrepanță semnificativă se atestă în mun. Chișinău, unde cererea de forță de muncă depășește cu mult oferta, existând o </w:t>
      </w:r>
      <w:r w:rsidRPr="00644D4E">
        <w:rPr>
          <w:rFonts w:asciiTheme="majorBidi" w:hAnsiTheme="majorBidi" w:cstheme="majorBidi"/>
          <w:sz w:val="24"/>
          <w:szCs w:val="24"/>
          <w:lang w:val="ro-RO"/>
        </w:rPr>
        <w:lastRenderedPageBreak/>
        <w:t xml:space="preserve">capacitate mai mare de absorbție a forței de muncă disponibilă, acestea confruntându-se cu un deficit accentuat de forță de muncă. Iar în </w:t>
      </w:r>
      <w:r w:rsidR="0036402C" w:rsidRPr="00644D4E">
        <w:rPr>
          <w:rFonts w:asciiTheme="majorBidi" w:hAnsiTheme="majorBidi" w:cstheme="majorBidi"/>
          <w:sz w:val="24"/>
          <w:szCs w:val="24"/>
          <w:lang w:val="ro-RO"/>
        </w:rPr>
        <w:t xml:space="preserve">raioanele Căușeni, Briceni, </w:t>
      </w:r>
      <w:proofErr w:type="spellStart"/>
      <w:r w:rsidR="0036402C" w:rsidRPr="00644D4E">
        <w:rPr>
          <w:rFonts w:asciiTheme="majorBidi" w:hAnsiTheme="majorBidi" w:cstheme="majorBidi"/>
          <w:sz w:val="24"/>
          <w:szCs w:val="24"/>
          <w:lang w:val="ro-RO"/>
        </w:rPr>
        <w:t>Edineț</w:t>
      </w:r>
      <w:proofErr w:type="spellEnd"/>
      <w:r w:rsidR="0036402C" w:rsidRPr="00644D4E">
        <w:rPr>
          <w:rFonts w:asciiTheme="majorBidi" w:hAnsiTheme="majorBidi" w:cstheme="majorBidi"/>
          <w:sz w:val="24"/>
          <w:szCs w:val="24"/>
          <w:lang w:val="ro-RO"/>
        </w:rPr>
        <w:t xml:space="preserve">, Drochia, Soroca, </w:t>
      </w:r>
      <w:r w:rsidRPr="00644D4E">
        <w:rPr>
          <w:rFonts w:asciiTheme="majorBidi" w:hAnsiTheme="majorBidi" w:cstheme="majorBidi"/>
          <w:sz w:val="24"/>
          <w:szCs w:val="24"/>
          <w:lang w:val="ro-RO"/>
        </w:rPr>
        <w:t>Ocnița,</w:t>
      </w:r>
      <w:r w:rsidR="0036402C" w:rsidRPr="00644D4E">
        <w:rPr>
          <w:rFonts w:asciiTheme="majorBidi" w:hAnsiTheme="majorBidi" w:cstheme="majorBidi"/>
          <w:sz w:val="24"/>
          <w:szCs w:val="24"/>
          <w:lang w:val="ro-RO"/>
        </w:rPr>
        <w:t xml:space="preserve"> Râșcani, Dondușeni, </w:t>
      </w:r>
      <w:r w:rsidRPr="00644D4E">
        <w:rPr>
          <w:rFonts w:asciiTheme="majorBidi" w:hAnsiTheme="majorBidi" w:cstheme="majorBidi"/>
          <w:sz w:val="24"/>
          <w:szCs w:val="24"/>
          <w:lang w:val="ro-RO"/>
        </w:rPr>
        <w:t xml:space="preserve">Taraclia, </w:t>
      </w:r>
      <w:r w:rsidR="0036402C" w:rsidRPr="00644D4E">
        <w:rPr>
          <w:rFonts w:asciiTheme="majorBidi" w:hAnsiTheme="majorBidi" w:cstheme="majorBidi"/>
          <w:sz w:val="24"/>
          <w:szCs w:val="24"/>
          <w:lang w:val="ro-RO"/>
        </w:rPr>
        <w:t>Hâncești, Nisporeni,</w:t>
      </w:r>
      <w:r w:rsidRPr="00644D4E">
        <w:rPr>
          <w:rFonts w:asciiTheme="majorBidi" w:hAnsiTheme="majorBidi" w:cstheme="majorBidi"/>
          <w:sz w:val="24"/>
          <w:szCs w:val="24"/>
          <w:lang w:val="ro-RO"/>
        </w:rPr>
        <w:t xml:space="preserve"> Sângerei</w:t>
      </w:r>
      <w:r w:rsidR="0036402C" w:rsidRPr="00644D4E">
        <w:rPr>
          <w:rFonts w:asciiTheme="majorBidi" w:hAnsiTheme="majorBidi" w:cstheme="majorBidi"/>
          <w:sz w:val="24"/>
          <w:szCs w:val="24"/>
          <w:lang w:val="ro-RO"/>
        </w:rPr>
        <w:t xml:space="preserve"> și Dubăsari</w:t>
      </w:r>
      <w:r w:rsidRPr="00644D4E">
        <w:rPr>
          <w:rFonts w:asciiTheme="majorBidi" w:hAnsiTheme="majorBidi" w:cstheme="majorBidi"/>
          <w:sz w:val="24"/>
          <w:szCs w:val="24"/>
          <w:lang w:val="ro-RO"/>
        </w:rPr>
        <w:t>, numărul șomerilor înregistrați depășește cu mult numărul de locuri de muncă vacante</w:t>
      </w:r>
      <w:r w:rsidR="007750D2" w:rsidRPr="00644D4E">
        <w:rPr>
          <w:rFonts w:asciiTheme="majorBidi" w:hAnsiTheme="majorBidi" w:cstheme="majorBidi"/>
          <w:sz w:val="24"/>
          <w:szCs w:val="24"/>
          <w:lang w:val="ro-RO"/>
        </w:rPr>
        <w:t xml:space="preserve"> și astfel</w:t>
      </w:r>
      <w:r w:rsidRPr="00644D4E">
        <w:rPr>
          <w:rFonts w:asciiTheme="majorBidi" w:hAnsiTheme="majorBidi" w:cstheme="majorBidi"/>
          <w:sz w:val="24"/>
          <w:szCs w:val="24"/>
          <w:lang w:val="ro-RO"/>
        </w:rPr>
        <w:t xml:space="preserve"> conduc la bariere în absorbția pe piața muncii a numărului mare de șomeri înregistrați</w:t>
      </w:r>
      <w:r w:rsidR="007750D2" w:rsidRPr="00644D4E">
        <w:rPr>
          <w:rFonts w:asciiTheme="majorBidi" w:hAnsiTheme="majorBidi" w:cstheme="majorBidi"/>
          <w:sz w:val="24"/>
          <w:szCs w:val="24"/>
          <w:lang w:val="ro-RO"/>
        </w:rPr>
        <w:t>,</w:t>
      </w:r>
      <w:r w:rsidRPr="00644D4E">
        <w:rPr>
          <w:rFonts w:asciiTheme="majorBidi" w:hAnsiTheme="majorBidi" w:cstheme="majorBidi"/>
          <w:sz w:val="24"/>
          <w:szCs w:val="24"/>
          <w:lang w:val="ro-RO"/>
        </w:rPr>
        <w:t xml:space="preserve"> oferta forței de muncă devenind în exces față de cerere. </w:t>
      </w:r>
      <w:r w:rsidR="00C50972" w:rsidRPr="00644D4E">
        <w:rPr>
          <w:rFonts w:asciiTheme="majorBidi" w:hAnsiTheme="majorBidi" w:cstheme="majorBidi"/>
          <w:sz w:val="24"/>
          <w:szCs w:val="24"/>
          <w:lang w:val="ro-RO"/>
        </w:rPr>
        <w:t xml:space="preserve">După </w:t>
      </w:r>
      <w:r w:rsidR="00A5623C" w:rsidRPr="00644D4E">
        <w:rPr>
          <w:rFonts w:asciiTheme="majorBidi" w:hAnsiTheme="majorBidi" w:cstheme="majorBidi"/>
          <w:sz w:val="24"/>
          <w:szCs w:val="24"/>
          <w:lang w:val="ro-RO"/>
        </w:rPr>
        <w:t>regiuni statistice</w:t>
      </w:r>
      <w:r w:rsidR="00C50972" w:rsidRPr="00644D4E">
        <w:rPr>
          <w:rFonts w:asciiTheme="majorBidi" w:hAnsiTheme="majorBidi" w:cstheme="majorBidi"/>
          <w:sz w:val="24"/>
          <w:szCs w:val="24"/>
          <w:lang w:val="ro-RO"/>
        </w:rPr>
        <w:t>, cele mai multe locuri de muncă vacante au fost înregistrate în mun.</w:t>
      </w:r>
      <w:r w:rsidR="008237B9" w:rsidRPr="00644D4E">
        <w:rPr>
          <w:rFonts w:asciiTheme="majorBidi" w:hAnsiTheme="majorBidi" w:cstheme="majorBidi"/>
          <w:sz w:val="24"/>
          <w:szCs w:val="24"/>
          <w:lang w:val="ro-RO"/>
        </w:rPr>
        <w:t xml:space="preserve"> </w:t>
      </w:r>
      <w:r w:rsidR="00C50972" w:rsidRPr="00644D4E">
        <w:rPr>
          <w:rFonts w:asciiTheme="majorBidi" w:hAnsiTheme="majorBidi" w:cstheme="majorBidi"/>
          <w:sz w:val="24"/>
          <w:szCs w:val="24"/>
          <w:lang w:val="ro-RO"/>
        </w:rPr>
        <w:t>Chișinău</w:t>
      </w:r>
      <w:r w:rsidR="008237B9" w:rsidRPr="00644D4E">
        <w:rPr>
          <w:rFonts w:asciiTheme="majorBidi" w:hAnsiTheme="majorBidi" w:cstheme="majorBidi"/>
          <w:sz w:val="24"/>
          <w:szCs w:val="24"/>
          <w:lang w:val="ro-RO"/>
        </w:rPr>
        <w:t xml:space="preserve"> </w:t>
      </w:r>
      <w:r w:rsidR="004C10FB" w:rsidRPr="00644D4E">
        <w:rPr>
          <w:rFonts w:asciiTheme="majorBidi" w:hAnsiTheme="majorBidi" w:cstheme="majorBidi"/>
          <w:sz w:val="24"/>
          <w:szCs w:val="24"/>
          <w:lang w:val="ro-RO"/>
        </w:rPr>
        <w:t>–</w:t>
      </w:r>
      <w:r w:rsidR="007750D2" w:rsidRPr="00644D4E">
        <w:rPr>
          <w:rFonts w:asciiTheme="majorBidi" w:hAnsiTheme="majorBidi" w:cstheme="majorBidi"/>
          <w:sz w:val="24"/>
          <w:szCs w:val="24"/>
          <w:lang w:val="ro-RO"/>
        </w:rPr>
        <w:t>36</w:t>
      </w:r>
      <w:r w:rsidR="00C50972" w:rsidRPr="00644D4E">
        <w:rPr>
          <w:rFonts w:asciiTheme="majorBidi" w:hAnsiTheme="majorBidi" w:cstheme="majorBidi"/>
          <w:sz w:val="24"/>
          <w:szCs w:val="24"/>
          <w:lang w:val="ro-RO"/>
        </w:rPr>
        <w:t xml:space="preserve">%, urmat de </w:t>
      </w:r>
      <w:r w:rsidR="00AC7701" w:rsidRPr="00644D4E">
        <w:rPr>
          <w:rFonts w:asciiTheme="majorBidi" w:hAnsiTheme="majorBidi" w:cstheme="majorBidi"/>
          <w:sz w:val="24"/>
          <w:szCs w:val="24"/>
          <w:lang w:val="ro-RO"/>
        </w:rPr>
        <w:t>regiunea</w:t>
      </w:r>
      <w:r w:rsidR="00C50972" w:rsidRPr="00644D4E">
        <w:rPr>
          <w:rFonts w:asciiTheme="majorBidi" w:hAnsiTheme="majorBidi" w:cstheme="majorBidi"/>
          <w:sz w:val="24"/>
          <w:szCs w:val="24"/>
          <w:lang w:val="ro-RO"/>
        </w:rPr>
        <w:t xml:space="preserve"> </w:t>
      </w:r>
      <w:r w:rsidR="00A5623C" w:rsidRPr="00644D4E">
        <w:rPr>
          <w:rFonts w:asciiTheme="majorBidi" w:hAnsiTheme="majorBidi" w:cstheme="majorBidi"/>
          <w:sz w:val="24"/>
          <w:szCs w:val="24"/>
          <w:lang w:val="ro-RO"/>
        </w:rPr>
        <w:t>Centru</w:t>
      </w:r>
      <w:r w:rsidR="00C50972" w:rsidRPr="00644D4E">
        <w:rPr>
          <w:rFonts w:asciiTheme="majorBidi" w:hAnsiTheme="majorBidi" w:cstheme="majorBidi"/>
          <w:sz w:val="24"/>
          <w:szCs w:val="24"/>
          <w:lang w:val="ro-RO"/>
        </w:rPr>
        <w:t xml:space="preserve"> </w:t>
      </w:r>
      <w:r w:rsidR="008237B9" w:rsidRPr="00644D4E">
        <w:rPr>
          <w:rFonts w:asciiTheme="majorBidi" w:hAnsiTheme="majorBidi" w:cstheme="majorBidi"/>
          <w:sz w:val="24"/>
          <w:szCs w:val="24"/>
          <w:lang w:val="ro-RO"/>
        </w:rPr>
        <w:t>–</w:t>
      </w:r>
      <w:r w:rsidR="00C50972" w:rsidRPr="00644D4E">
        <w:rPr>
          <w:rFonts w:asciiTheme="majorBidi" w:hAnsiTheme="majorBidi" w:cstheme="majorBidi"/>
          <w:sz w:val="24"/>
          <w:szCs w:val="24"/>
          <w:lang w:val="ro-RO"/>
        </w:rPr>
        <w:t xml:space="preserve">24%, </w:t>
      </w:r>
      <w:r w:rsidR="00A5623C" w:rsidRPr="00644D4E">
        <w:rPr>
          <w:rFonts w:asciiTheme="majorBidi" w:hAnsiTheme="majorBidi" w:cstheme="majorBidi"/>
          <w:sz w:val="24"/>
          <w:szCs w:val="24"/>
          <w:lang w:val="ro-RO"/>
        </w:rPr>
        <w:t>Nord</w:t>
      </w:r>
      <w:r w:rsidR="00C50972" w:rsidRPr="00644D4E">
        <w:rPr>
          <w:rFonts w:asciiTheme="majorBidi" w:hAnsiTheme="majorBidi" w:cstheme="majorBidi"/>
          <w:sz w:val="24"/>
          <w:szCs w:val="24"/>
          <w:lang w:val="ro-RO"/>
        </w:rPr>
        <w:t xml:space="preserve"> </w:t>
      </w:r>
      <w:r w:rsidR="008237B9" w:rsidRPr="00644D4E">
        <w:rPr>
          <w:rFonts w:asciiTheme="majorBidi" w:hAnsiTheme="majorBidi" w:cstheme="majorBidi"/>
          <w:sz w:val="24"/>
          <w:szCs w:val="24"/>
          <w:lang w:val="ro-RO"/>
        </w:rPr>
        <w:t>–</w:t>
      </w:r>
      <w:r w:rsidR="00C50972" w:rsidRPr="00644D4E">
        <w:rPr>
          <w:rFonts w:asciiTheme="majorBidi" w:hAnsiTheme="majorBidi" w:cstheme="majorBidi"/>
          <w:sz w:val="24"/>
          <w:szCs w:val="24"/>
          <w:lang w:val="ro-RO"/>
        </w:rPr>
        <w:t>2</w:t>
      </w:r>
      <w:r w:rsidR="007750D2" w:rsidRPr="00644D4E">
        <w:rPr>
          <w:rFonts w:asciiTheme="majorBidi" w:hAnsiTheme="majorBidi" w:cstheme="majorBidi"/>
          <w:sz w:val="24"/>
          <w:szCs w:val="24"/>
          <w:lang w:val="ro-RO"/>
        </w:rPr>
        <w:t>2</w:t>
      </w:r>
      <w:r w:rsidR="00C50972" w:rsidRPr="00644D4E">
        <w:rPr>
          <w:rFonts w:asciiTheme="majorBidi" w:hAnsiTheme="majorBidi" w:cstheme="majorBidi"/>
          <w:sz w:val="24"/>
          <w:szCs w:val="24"/>
          <w:lang w:val="ro-RO"/>
        </w:rPr>
        <w:t xml:space="preserve">% și </w:t>
      </w:r>
      <w:r w:rsidR="00AC7701" w:rsidRPr="00644D4E">
        <w:rPr>
          <w:rFonts w:asciiTheme="majorBidi" w:hAnsiTheme="majorBidi" w:cstheme="majorBidi"/>
          <w:sz w:val="24"/>
          <w:szCs w:val="24"/>
          <w:lang w:val="ro-RO"/>
        </w:rPr>
        <w:t>regiunea</w:t>
      </w:r>
      <w:r w:rsidR="00C50972" w:rsidRPr="00644D4E">
        <w:rPr>
          <w:rFonts w:asciiTheme="majorBidi" w:hAnsiTheme="majorBidi" w:cstheme="majorBidi"/>
          <w:sz w:val="24"/>
          <w:szCs w:val="24"/>
          <w:lang w:val="ro-RO"/>
        </w:rPr>
        <w:t xml:space="preserve"> Sud cu 1</w:t>
      </w:r>
      <w:r w:rsidR="007750D2" w:rsidRPr="00644D4E">
        <w:rPr>
          <w:rFonts w:asciiTheme="majorBidi" w:hAnsiTheme="majorBidi" w:cstheme="majorBidi"/>
          <w:sz w:val="24"/>
          <w:szCs w:val="24"/>
          <w:lang w:val="ro-RO"/>
        </w:rPr>
        <w:t>8</w:t>
      </w:r>
      <w:r w:rsidR="00C50972" w:rsidRPr="00644D4E">
        <w:rPr>
          <w:rFonts w:asciiTheme="majorBidi" w:hAnsiTheme="majorBidi" w:cstheme="majorBidi"/>
          <w:sz w:val="24"/>
          <w:szCs w:val="24"/>
          <w:lang w:val="ro-RO"/>
        </w:rPr>
        <w:t>% (Figura 2.3.3.</w:t>
      </w:r>
      <w:r w:rsidR="007750D2" w:rsidRPr="00644D4E">
        <w:rPr>
          <w:rFonts w:asciiTheme="majorBidi" w:hAnsiTheme="majorBidi" w:cstheme="majorBidi"/>
          <w:sz w:val="24"/>
          <w:szCs w:val="24"/>
          <w:lang w:val="ro-RO"/>
        </w:rPr>
        <w:t>4</w:t>
      </w:r>
      <w:r w:rsidR="00C50972" w:rsidRPr="00644D4E">
        <w:rPr>
          <w:rFonts w:asciiTheme="majorBidi" w:hAnsiTheme="majorBidi" w:cstheme="majorBidi"/>
          <w:sz w:val="24"/>
          <w:szCs w:val="24"/>
          <w:lang w:val="ro-RO"/>
        </w:rPr>
        <w:t xml:space="preserve">). </w:t>
      </w:r>
      <w:r w:rsidR="00D45026" w:rsidRPr="00644D4E">
        <w:rPr>
          <w:rFonts w:asciiTheme="majorBidi" w:hAnsiTheme="majorBidi" w:cstheme="majorBidi"/>
          <w:sz w:val="24"/>
          <w:szCs w:val="24"/>
          <w:lang w:val="ro-RO"/>
        </w:rPr>
        <w:t>Comparativ cu anul 2022 în regiunile Nord și Sud a crescut numărul locurilor de muncă vacante înregistrate, iar în Nord și mun. Chișinău s-a diminuat.</w:t>
      </w:r>
    </w:p>
    <w:p w14:paraId="0D8F00BC" w14:textId="77777777" w:rsidR="00B15850" w:rsidRPr="00644D4E" w:rsidRDefault="00B15850" w:rsidP="00034CA0">
      <w:pPr>
        <w:pStyle w:val="NoSpacing"/>
        <w:ind w:left="284"/>
        <w:jc w:val="both"/>
        <w:rPr>
          <w:rFonts w:ascii="Times New Roman" w:hAnsi="Times New Roman" w:cs="Times New Roman"/>
          <w:sz w:val="24"/>
          <w:szCs w:val="24"/>
          <w:lang w:val="ro-RO"/>
        </w:rPr>
      </w:pPr>
    </w:p>
    <w:p w14:paraId="421BD236" w14:textId="77777777" w:rsidR="00C50972" w:rsidRPr="00644D4E" w:rsidRDefault="00C50972" w:rsidP="004C6FFA">
      <w:pPr>
        <w:pStyle w:val="NoSpacing"/>
        <w:spacing w:after="60"/>
        <w:jc w:val="center"/>
        <w:rPr>
          <w:rFonts w:ascii="Times New Roman" w:hAnsi="Times New Roman" w:cs="Times New Roman"/>
          <w:b/>
          <w:i/>
          <w:lang w:val="ro-RO"/>
        </w:rPr>
      </w:pPr>
      <w:r w:rsidRPr="00644D4E">
        <w:rPr>
          <w:rFonts w:ascii="Times New Roman" w:hAnsi="Times New Roman" w:cs="Times New Roman"/>
          <w:b/>
          <w:i/>
          <w:lang w:val="ro-RO"/>
        </w:rPr>
        <w:t>Fig. 2.3.3.</w:t>
      </w:r>
      <w:r w:rsidR="007750D2" w:rsidRPr="00644D4E">
        <w:rPr>
          <w:rFonts w:ascii="Times New Roman" w:hAnsi="Times New Roman" w:cs="Times New Roman"/>
          <w:b/>
          <w:i/>
          <w:lang w:val="ro-RO"/>
        </w:rPr>
        <w:t>4</w:t>
      </w:r>
      <w:r w:rsidRPr="00644D4E">
        <w:rPr>
          <w:rFonts w:ascii="Times New Roman" w:hAnsi="Times New Roman" w:cs="Times New Roman"/>
          <w:b/>
          <w:i/>
          <w:lang w:val="ro-RO"/>
        </w:rPr>
        <w:t xml:space="preserve">. Locuri vacante înregistrate pe </w:t>
      </w:r>
      <w:r w:rsidR="00D35A40" w:rsidRPr="00644D4E">
        <w:rPr>
          <w:rFonts w:ascii="Times New Roman" w:hAnsi="Times New Roman" w:cs="Times New Roman"/>
          <w:b/>
          <w:i/>
          <w:lang w:val="ro-RO"/>
        </w:rPr>
        <w:t>regiuni statistice</w:t>
      </w:r>
      <w:r w:rsidRPr="00644D4E">
        <w:rPr>
          <w:rFonts w:ascii="Times New Roman" w:hAnsi="Times New Roman" w:cs="Times New Roman"/>
          <w:b/>
          <w:i/>
          <w:lang w:val="ro-RO"/>
        </w:rPr>
        <w:t>, %</w:t>
      </w:r>
    </w:p>
    <w:p w14:paraId="405C3803" w14:textId="77777777" w:rsidR="00C50972" w:rsidRPr="00644D4E" w:rsidRDefault="00C50972" w:rsidP="00DB2C3A">
      <w:pPr>
        <w:pStyle w:val="NoSpacing"/>
        <w:spacing w:after="60"/>
        <w:jc w:val="center"/>
        <w:rPr>
          <w:rFonts w:ascii="Times New Roman" w:hAnsi="Times New Roman" w:cs="Times New Roman"/>
          <w:sz w:val="16"/>
          <w:szCs w:val="16"/>
          <w:lang w:val="ro-RO"/>
        </w:rPr>
      </w:pPr>
      <w:r w:rsidRPr="00644D4E">
        <w:rPr>
          <w:rFonts w:ascii="Times New Roman" w:hAnsi="Times New Roman" w:cs="Times New Roman"/>
          <w:b/>
          <w:i/>
          <w:lang w:val="ro-RO"/>
        </w:rPr>
        <w:drawing>
          <wp:inline distT="0" distB="0" distL="0" distR="0" wp14:anchorId="31DE5F0B" wp14:editId="3AF0EA8F">
            <wp:extent cx="3998488" cy="1442955"/>
            <wp:effectExtent l="0" t="0" r="2540" b="5080"/>
            <wp:docPr id="36"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644D4E">
        <w:rPr>
          <w:rFonts w:ascii="Times New Roman" w:hAnsi="Times New Roman" w:cs="Times New Roman"/>
          <w:sz w:val="16"/>
          <w:szCs w:val="16"/>
          <w:lang w:val="ro-RO"/>
        </w:rPr>
        <w:t xml:space="preserve"> </w:t>
      </w:r>
    </w:p>
    <w:p w14:paraId="2CDD8F20" w14:textId="77777777" w:rsidR="00C50972" w:rsidRPr="00644D4E" w:rsidRDefault="00C50972" w:rsidP="00C50972">
      <w:pPr>
        <w:pStyle w:val="NoSpacing"/>
        <w:spacing w:after="120"/>
        <w:rPr>
          <w:rFonts w:ascii="Times New Roman" w:hAnsi="Times New Roman" w:cs="Times New Roman"/>
          <w:sz w:val="24"/>
          <w:szCs w:val="24"/>
          <w:lang w:val="ro-RO"/>
        </w:rPr>
      </w:pPr>
      <w:r w:rsidRPr="00644D4E">
        <w:rPr>
          <w:rFonts w:ascii="Times New Roman" w:hAnsi="Times New Roman" w:cs="Times New Roman"/>
          <w:sz w:val="16"/>
          <w:szCs w:val="16"/>
          <w:lang w:val="ro-RO"/>
        </w:rPr>
        <w:t xml:space="preserve">                              </w:t>
      </w:r>
      <w:r w:rsidR="00D32F5A" w:rsidRPr="00644D4E">
        <w:rPr>
          <w:rFonts w:ascii="Times New Roman" w:hAnsi="Times New Roman" w:cs="Times New Roman"/>
          <w:sz w:val="16"/>
          <w:szCs w:val="16"/>
          <w:lang w:val="ro-RO"/>
        </w:rPr>
        <w:t xml:space="preserve">            </w:t>
      </w:r>
      <w:r w:rsidRPr="00644D4E">
        <w:rPr>
          <w:rFonts w:ascii="Times New Roman" w:hAnsi="Times New Roman" w:cs="Times New Roman"/>
          <w:sz w:val="16"/>
          <w:szCs w:val="16"/>
          <w:lang w:val="ro-RO"/>
        </w:rPr>
        <w:t>Sursa: Baza de date ANOFM</w:t>
      </w:r>
    </w:p>
    <w:p w14:paraId="4AC895C4" w14:textId="77777777" w:rsidR="00C50972" w:rsidRPr="00644D4E" w:rsidRDefault="00C50972" w:rsidP="0030738E">
      <w:pPr>
        <w:pStyle w:val="NoSpacing"/>
        <w:spacing w:after="120"/>
        <w:jc w:val="both"/>
        <w:rPr>
          <w:rFonts w:ascii="Times New Roman" w:hAnsi="Times New Roman" w:cs="Times New Roman"/>
          <w:sz w:val="24"/>
          <w:szCs w:val="24"/>
          <w:lang w:val="ro-RO"/>
        </w:rPr>
      </w:pPr>
      <w:r w:rsidRPr="00644D4E">
        <w:rPr>
          <w:rFonts w:ascii="Times New Roman" w:hAnsi="Times New Roman" w:cs="Times New Roman"/>
          <w:sz w:val="24"/>
          <w:szCs w:val="24"/>
          <w:lang w:val="ro-RO"/>
        </w:rPr>
        <w:t>Comparativ cu anul precedent, în 202</w:t>
      </w:r>
      <w:r w:rsidR="005E3C61" w:rsidRPr="00644D4E">
        <w:rPr>
          <w:rFonts w:ascii="Times New Roman" w:hAnsi="Times New Roman" w:cs="Times New Roman"/>
          <w:sz w:val="24"/>
          <w:szCs w:val="24"/>
          <w:lang w:val="ro-RO"/>
        </w:rPr>
        <w:t>3</w:t>
      </w:r>
      <w:r w:rsidR="005264BA" w:rsidRPr="00644D4E">
        <w:rPr>
          <w:rFonts w:ascii="Times New Roman" w:hAnsi="Times New Roman" w:cs="Times New Roman"/>
          <w:sz w:val="24"/>
          <w:szCs w:val="24"/>
          <w:lang w:val="ro-RO"/>
        </w:rPr>
        <w:t xml:space="preserve"> a crescut numărul locurilor vacante în </w:t>
      </w:r>
      <w:r w:rsidR="005E3C61" w:rsidRPr="00644D4E">
        <w:rPr>
          <w:rFonts w:ascii="Times New Roman" w:hAnsi="Times New Roman" w:cs="Times New Roman"/>
          <w:sz w:val="24"/>
          <w:szCs w:val="24"/>
          <w:lang w:val="ro-RO"/>
        </w:rPr>
        <w:t xml:space="preserve">regiunile Nord și Sud, iar în </w:t>
      </w:r>
      <w:r w:rsidR="005264BA" w:rsidRPr="00644D4E">
        <w:rPr>
          <w:rFonts w:ascii="Times New Roman" w:hAnsi="Times New Roman" w:cs="Times New Roman"/>
          <w:sz w:val="24"/>
          <w:szCs w:val="24"/>
          <w:lang w:val="ro-RO"/>
        </w:rPr>
        <w:t>mun. Chișinău și Centru</w:t>
      </w:r>
      <w:r w:rsidR="005E3C61" w:rsidRPr="00644D4E">
        <w:rPr>
          <w:rFonts w:ascii="Times New Roman" w:hAnsi="Times New Roman" w:cs="Times New Roman"/>
          <w:sz w:val="24"/>
          <w:szCs w:val="24"/>
          <w:lang w:val="ro-RO"/>
        </w:rPr>
        <w:t xml:space="preserve"> a fost în scădere</w:t>
      </w:r>
      <w:r w:rsidRPr="00644D4E">
        <w:rPr>
          <w:rFonts w:ascii="Times New Roman" w:hAnsi="Times New Roman" w:cs="Times New Roman"/>
          <w:sz w:val="24"/>
          <w:szCs w:val="24"/>
          <w:lang w:val="ro-RO"/>
        </w:rPr>
        <w:t xml:space="preserve"> (Figura 2.3.3.3).</w:t>
      </w:r>
    </w:p>
    <w:p w14:paraId="0C266390" w14:textId="77777777" w:rsidR="00C50972" w:rsidRPr="00644D4E" w:rsidRDefault="00C50972" w:rsidP="0030738E">
      <w:pPr>
        <w:pStyle w:val="NoSpacing"/>
        <w:spacing w:after="120"/>
        <w:jc w:val="both"/>
        <w:rPr>
          <w:rFonts w:ascii="Times New Roman" w:hAnsi="Times New Roman" w:cs="Times New Roman"/>
          <w:sz w:val="24"/>
          <w:szCs w:val="24"/>
          <w:lang w:val="ro-RO"/>
        </w:rPr>
      </w:pPr>
      <w:r w:rsidRPr="00644D4E">
        <w:rPr>
          <w:rFonts w:ascii="Times New Roman" w:hAnsi="Times New Roman" w:cs="Times New Roman"/>
          <w:sz w:val="24"/>
          <w:szCs w:val="24"/>
          <w:lang w:val="ro-RO"/>
        </w:rPr>
        <w:t xml:space="preserve">Având în vedere că </w:t>
      </w:r>
      <w:r w:rsidR="009425C5" w:rsidRPr="00644D4E">
        <w:rPr>
          <w:rFonts w:ascii="Times New Roman" w:hAnsi="Times New Roman" w:cs="Times New Roman"/>
          <w:b/>
          <w:sz w:val="24"/>
          <w:szCs w:val="24"/>
          <w:lang w:val="ro-RO"/>
        </w:rPr>
        <w:t>21</w:t>
      </w:r>
      <w:r w:rsidRPr="00644D4E">
        <w:rPr>
          <w:rFonts w:ascii="Times New Roman" w:hAnsi="Times New Roman" w:cs="Times New Roman"/>
          <w:b/>
          <w:sz w:val="24"/>
          <w:szCs w:val="24"/>
          <w:lang w:val="ro-RO"/>
        </w:rPr>
        <w:t>%</w:t>
      </w:r>
      <w:r w:rsidRPr="00644D4E">
        <w:rPr>
          <w:rFonts w:ascii="Times New Roman" w:hAnsi="Times New Roman" w:cs="Times New Roman"/>
          <w:sz w:val="24"/>
          <w:szCs w:val="24"/>
          <w:lang w:val="ro-RO"/>
        </w:rPr>
        <w:t xml:space="preserve"> din numărul total de locuri de muncă vacante sunt pentru slujbași și </w:t>
      </w:r>
      <w:r w:rsidR="009425C5" w:rsidRPr="00644D4E">
        <w:rPr>
          <w:rFonts w:ascii="Times New Roman" w:hAnsi="Times New Roman" w:cs="Times New Roman"/>
          <w:b/>
          <w:sz w:val="24"/>
          <w:szCs w:val="24"/>
          <w:lang w:val="ro-RO"/>
        </w:rPr>
        <w:t>79</w:t>
      </w:r>
      <w:r w:rsidRPr="00644D4E">
        <w:rPr>
          <w:rFonts w:ascii="Times New Roman" w:hAnsi="Times New Roman" w:cs="Times New Roman"/>
          <w:b/>
          <w:sz w:val="24"/>
          <w:szCs w:val="24"/>
          <w:lang w:val="ro-RO"/>
        </w:rPr>
        <w:t>%</w:t>
      </w:r>
      <w:r w:rsidRPr="00644D4E">
        <w:rPr>
          <w:rFonts w:ascii="Times New Roman" w:hAnsi="Times New Roman" w:cs="Times New Roman"/>
          <w:sz w:val="24"/>
          <w:szCs w:val="24"/>
          <w:lang w:val="ro-RO"/>
        </w:rPr>
        <w:t xml:space="preserve"> pentru muncitori, respectiv și distribuția locurilor după studii reflectă acest lucru. Astfel, cele mai multe locuri de muncă </w:t>
      </w:r>
      <w:r w:rsidR="0031208D" w:rsidRPr="00644D4E">
        <w:rPr>
          <w:rFonts w:ascii="Times New Roman" w:hAnsi="Times New Roman" w:cs="Times New Roman"/>
          <w:sz w:val="24"/>
          <w:szCs w:val="24"/>
          <w:lang w:val="ro-RO"/>
        </w:rPr>
        <w:t xml:space="preserve">vacante </w:t>
      </w:r>
      <w:r w:rsidRPr="00644D4E">
        <w:rPr>
          <w:rFonts w:ascii="Times New Roman" w:hAnsi="Times New Roman" w:cs="Times New Roman"/>
          <w:sz w:val="24"/>
          <w:szCs w:val="24"/>
          <w:lang w:val="ro-RO"/>
        </w:rPr>
        <w:t>înregistrate solicită studii</w:t>
      </w:r>
      <w:r w:rsidR="0031208D" w:rsidRPr="00644D4E">
        <w:rPr>
          <w:rFonts w:ascii="Times New Roman" w:hAnsi="Times New Roman" w:cs="Times New Roman"/>
          <w:sz w:val="24"/>
          <w:szCs w:val="24"/>
          <w:lang w:val="ro-RO"/>
        </w:rPr>
        <w:t xml:space="preserve"> </w:t>
      </w:r>
      <w:r w:rsidR="00D3602B" w:rsidRPr="00644D4E">
        <w:rPr>
          <w:rFonts w:ascii="Times New Roman" w:hAnsi="Times New Roman" w:cs="Times New Roman"/>
          <w:sz w:val="24"/>
          <w:szCs w:val="24"/>
          <w:lang w:val="ro-RO"/>
        </w:rPr>
        <w:t>primare/gimnaziale (</w:t>
      </w:r>
      <w:r w:rsidR="00D3602B" w:rsidRPr="00644D4E">
        <w:rPr>
          <w:rFonts w:ascii="Times New Roman" w:hAnsi="Times New Roman" w:cs="Times New Roman"/>
          <w:b/>
          <w:sz w:val="24"/>
          <w:szCs w:val="24"/>
          <w:lang w:val="ro-RO"/>
        </w:rPr>
        <w:t>36%</w:t>
      </w:r>
      <w:r w:rsidR="00D3602B" w:rsidRPr="00644D4E">
        <w:rPr>
          <w:rFonts w:ascii="Times New Roman" w:hAnsi="Times New Roman" w:cs="Times New Roman"/>
          <w:sz w:val="24"/>
          <w:szCs w:val="24"/>
          <w:lang w:val="ro-RO"/>
        </w:rPr>
        <w:t xml:space="preserve">), urmate de </w:t>
      </w:r>
      <w:r w:rsidR="0031208D" w:rsidRPr="00644D4E">
        <w:rPr>
          <w:rFonts w:ascii="Times New Roman" w:hAnsi="Times New Roman" w:cs="Times New Roman"/>
          <w:sz w:val="24"/>
          <w:szCs w:val="24"/>
          <w:lang w:val="ro-RO"/>
        </w:rPr>
        <w:t>liceale/medii generale (</w:t>
      </w:r>
      <w:r w:rsidR="0031208D" w:rsidRPr="00644D4E">
        <w:rPr>
          <w:rFonts w:ascii="Times New Roman" w:hAnsi="Times New Roman" w:cs="Times New Roman"/>
          <w:b/>
          <w:sz w:val="24"/>
          <w:szCs w:val="24"/>
          <w:lang w:val="ro-RO"/>
        </w:rPr>
        <w:t>3</w:t>
      </w:r>
      <w:r w:rsidR="00D3602B" w:rsidRPr="00644D4E">
        <w:rPr>
          <w:rFonts w:ascii="Times New Roman" w:hAnsi="Times New Roman" w:cs="Times New Roman"/>
          <w:b/>
          <w:sz w:val="24"/>
          <w:szCs w:val="24"/>
          <w:lang w:val="ro-RO"/>
        </w:rPr>
        <w:t>2</w:t>
      </w:r>
      <w:r w:rsidR="0031208D" w:rsidRPr="00644D4E">
        <w:rPr>
          <w:rFonts w:ascii="Times New Roman" w:hAnsi="Times New Roman" w:cs="Times New Roman"/>
          <w:b/>
          <w:sz w:val="24"/>
          <w:szCs w:val="24"/>
          <w:lang w:val="ro-RO"/>
        </w:rPr>
        <w:t>%</w:t>
      </w:r>
      <w:r w:rsidR="0031208D" w:rsidRPr="00644D4E">
        <w:rPr>
          <w:rFonts w:ascii="Times New Roman" w:hAnsi="Times New Roman" w:cs="Times New Roman"/>
          <w:sz w:val="24"/>
          <w:szCs w:val="24"/>
          <w:lang w:val="ro-RO"/>
        </w:rPr>
        <w:t xml:space="preserve">), </w:t>
      </w:r>
      <w:r w:rsidRPr="00644D4E">
        <w:rPr>
          <w:rFonts w:ascii="Times New Roman" w:hAnsi="Times New Roman" w:cs="Times New Roman"/>
          <w:sz w:val="24"/>
          <w:szCs w:val="24"/>
          <w:lang w:val="ro-RO"/>
        </w:rPr>
        <w:t>secundar-profesionale (</w:t>
      </w:r>
      <w:r w:rsidR="0031208D" w:rsidRPr="00644D4E">
        <w:rPr>
          <w:rFonts w:ascii="Times New Roman" w:hAnsi="Times New Roman" w:cs="Times New Roman"/>
          <w:b/>
          <w:sz w:val="24"/>
          <w:szCs w:val="24"/>
          <w:lang w:val="ro-RO"/>
        </w:rPr>
        <w:t>1</w:t>
      </w:r>
      <w:r w:rsidR="00D3602B" w:rsidRPr="00644D4E">
        <w:rPr>
          <w:rFonts w:ascii="Times New Roman" w:hAnsi="Times New Roman" w:cs="Times New Roman"/>
          <w:b/>
          <w:sz w:val="24"/>
          <w:szCs w:val="24"/>
          <w:lang w:val="ro-RO"/>
        </w:rPr>
        <w:t>6</w:t>
      </w:r>
      <w:r w:rsidRPr="00644D4E">
        <w:rPr>
          <w:rFonts w:ascii="Times New Roman" w:hAnsi="Times New Roman" w:cs="Times New Roman"/>
          <w:b/>
          <w:sz w:val="24"/>
          <w:szCs w:val="24"/>
          <w:lang w:val="ro-RO"/>
        </w:rPr>
        <w:t>%</w:t>
      </w:r>
      <w:r w:rsidRPr="00644D4E">
        <w:rPr>
          <w:rFonts w:ascii="Times New Roman" w:hAnsi="Times New Roman" w:cs="Times New Roman"/>
          <w:sz w:val="24"/>
          <w:szCs w:val="24"/>
          <w:lang w:val="ro-RO"/>
        </w:rPr>
        <w:t>), superioare (</w:t>
      </w:r>
      <w:r w:rsidR="0031208D" w:rsidRPr="00644D4E">
        <w:rPr>
          <w:rFonts w:ascii="Times New Roman" w:hAnsi="Times New Roman" w:cs="Times New Roman"/>
          <w:b/>
          <w:sz w:val="24"/>
          <w:szCs w:val="24"/>
          <w:lang w:val="ro-RO"/>
        </w:rPr>
        <w:t>1</w:t>
      </w:r>
      <w:r w:rsidR="00D3602B" w:rsidRPr="00644D4E">
        <w:rPr>
          <w:rFonts w:ascii="Times New Roman" w:hAnsi="Times New Roman" w:cs="Times New Roman"/>
          <w:b/>
          <w:sz w:val="24"/>
          <w:szCs w:val="24"/>
          <w:lang w:val="ro-RO"/>
        </w:rPr>
        <w:t>2</w:t>
      </w:r>
      <w:r w:rsidRPr="00644D4E">
        <w:rPr>
          <w:rFonts w:ascii="Times New Roman" w:hAnsi="Times New Roman" w:cs="Times New Roman"/>
          <w:b/>
          <w:sz w:val="24"/>
          <w:szCs w:val="24"/>
          <w:lang w:val="ro-RO"/>
        </w:rPr>
        <w:t>%</w:t>
      </w:r>
      <w:r w:rsidRPr="00644D4E">
        <w:rPr>
          <w:rFonts w:ascii="Times New Roman" w:hAnsi="Times New Roman" w:cs="Times New Roman"/>
          <w:sz w:val="24"/>
          <w:szCs w:val="24"/>
          <w:lang w:val="ro-RO"/>
        </w:rPr>
        <w:t xml:space="preserve">) și medii speciale </w:t>
      </w:r>
      <w:r w:rsidR="00D3602B" w:rsidRPr="00644D4E">
        <w:rPr>
          <w:rFonts w:ascii="Times New Roman" w:hAnsi="Times New Roman" w:cs="Times New Roman"/>
          <w:sz w:val="24"/>
          <w:szCs w:val="24"/>
          <w:lang w:val="ro-RO"/>
        </w:rPr>
        <w:t>(</w:t>
      </w:r>
      <w:r w:rsidR="00D3602B" w:rsidRPr="00644D4E">
        <w:rPr>
          <w:rFonts w:ascii="Times New Roman" w:hAnsi="Times New Roman" w:cs="Times New Roman"/>
          <w:b/>
          <w:sz w:val="24"/>
          <w:szCs w:val="24"/>
          <w:lang w:val="ro-RO"/>
        </w:rPr>
        <w:t>4</w:t>
      </w:r>
      <w:r w:rsidRPr="00644D4E">
        <w:rPr>
          <w:rFonts w:ascii="Times New Roman" w:hAnsi="Times New Roman" w:cs="Times New Roman"/>
          <w:b/>
          <w:sz w:val="24"/>
          <w:szCs w:val="24"/>
          <w:lang w:val="ro-RO"/>
        </w:rPr>
        <w:t>%</w:t>
      </w:r>
      <w:r w:rsidRPr="00644D4E">
        <w:rPr>
          <w:rFonts w:ascii="Times New Roman" w:hAnsi="Times New Roman" w:cs="Times New Roman"/>
          <w:sz w:val="24"/>
          <w:szCs w:val="24"/>
          <w:lang w:val="ro-RO"/>
        </w:rPr>
        <w:t xml:space="preserve">). </w:t>
      </w:r>
    </w:p>
    <w:p w14:paraId="37C6393F" w14:textId="77777777" w:rsidR="00EB3FFA" w:rsidRPr="00644D4E" w:rsidRDefault="00031663" w:rsidP="0030738E">
      <w:pPr>
        <w:pStyle w:val="NoSpacing"/>
        <w:spacing w:after="120"/>
        <w:jc w:val="both"/>
        <w:rPr>
          <w:rFonts w:ascii="Times New Roman" w:hAnsi="Times New Roman" w:cs="Times New Roman"/>
          <w:sz w:val="24"/>
          <w:szCs w:val="24"/>
          <w:lang w:val="ro-RO"/>
        </w:rPr>
      </w:pPr>
      <w:r w:rsidRPr="00644D4E">
        <w:rPr>
          <w:rFonts w:ascii="Times New Roman" w:hAnsi="Times New Roman" w:cs="Times New Roman"/>
          <w:sz w:val="24"/>
          <w:szCs w:val="24"/>
          <w:lang w:val="ro-RO"/>
        </w:rPr>
        <w:t xml:space="preserve">Cele mai multe locuri vacante au fost înregistrate în luna </w:t>
      </w:r>
      <w:r w:rsidR="009425C5" w:rsidRPr="00644D4E">
        <w:rPr>
          <w:rFonts w:ascii="Times New Roman" w:hAnsi="Times New Roman" w:cs="Times New Roman"/>
          <w:sz w:val="24"/>
          <w:szCs w:val="24"/>
          <w:lang w:val="ro-RO"/>
        </w:rPr>
        <w:t xml:space="preserve">mai </w:t>
      </w:r>
      <w:r w:rsidRPr="00644D4E">
        <w:rPr>
          <w:rFonts w:ascii="Times New Roman" w:hAnsi="Times New Roman" w:cs="Times New Roman"/>
          <w:sz w:val="24"/>
          <w:szCs w:val="24"/>
          <w:lang w:val="ro-RO"/>
        </w:rPr>
        <w:t>(</w:t>
      </w:r>
      <w:r w:rsidR="009425C5" w:rsidRPr="00644D4E">
        <w:rPr>
          <w:rFonts w:ascii="Times New Roman" w:hAnsi="Times New Roman" w:cs="Times New Roman"/>
          <w:sz w:val="24"/>
          <w:szCs w:val="24"/>
          <w:lang w:val="ro-RO"/>
        </w:rPr>
        <w:t>4744</w:t>
      </w:r>
      <w:r w:rsidRPr="00644D4E">
        <w:rPr>
          <w:rFonts w:ascii="Times New Roman" w:hAnsi="Times New Roman" w:cs="Times New Roman"/>
          <w:sz w:val="24"/>
          <w:szCs w:val="24"/>
          <w:lang w:val="ro-RO"/>
        </w:rPr>
        <w:t>)</w:t>
      </w:r>
      <w:r w:rsidR="00D85D75" w:rsidRPr="00644D4E">
        <w:rPr>
          <w:rFonts w:ascii="Times New Roman" w:hAnsi="Times New Roman" w:cs="Times New Roman"/>
          <w:sz w:val="24"/>
          <w:szCs w:val="24"/>
          <w:lang w:val="ro-RO"/>
        </w:rPr>
        <w:t xml:space="preserve">, iar cele mai puține în luna aprilie (1378). </w:t>
      </w:r>
    </w:p>
    <w:p w14:paraId="4A8EE6A0" w14:textId="77777777" w:rsidR="00C50972" w:rsidRPr="00644D4E" w:rsidRDefault="00C50972" w:rsidP="0030738E">
      <w:pPr>
        <w:pStyle w:val="NoSpacing"/>
        <w:spacing w:after="120"/>
        <w:jc w:val="both"/>
        <w:rPr>
          <w:rFonts w:ascii="Times New Roman" w:hAnsi="Times New Roman" w:cs="Times New Roman"/>
          <w:sz w:val="24"/>
          <w:szCs w:val="24"/>
          <w:lang w:val="ro-RO"/>
        </w:rPr>
      </w:pPr>
      <w:r w:rsidRPr="00644D4E">
        <w:rPr>
          <w:rFonts w:ascii="Times New Roman" w:hAnsi="Times New Roman" w:cs="Times New Roman"/>
          <w:sz w:val="24"/>
          <w:szCs w:val="24"/>
          <w:lang w:val="ro-RO"/>
        </w:rPr>
        <w:t xml:space="preserve">Pe </w:t>
      </w:r>
      <w:r w:rsidRPr="00644D4E">
        <w:rPr>
          <w:rFonts w:ascii="Times New Roman" w:hAnsi="Times New Roman" w:cs="Times New Roman"/>
          <w:b/>
          <w:sz w:val="24"/>
          <w:szCs w:val="24"/>
          <w:lang w:val="ro-RO"/>
        </w:rPr>
        <w:t>medii de reședință</w:t>
      </w:r>
      <w:r w:rsidRPr="00644D4E">
        <w:rPr>
          <w:rFonts w:ascii="Times New Roman" w:hAnsi="Times New Roman" w:cs="Times New Roman"/>
          <w:sz w:val="24"/>
          <w:szCs w:val="24"/>
          <w:lang w:val="ro-RO"/>
        </w:rPr>
        <w:t xml:space="preserve">, ponderea locurilor </w:t>
      </w:r>
      <w:r w:rsidR="00386CE3" w:rsidRPr="00644D4E">
        <w:rPr>
          <w:rFonts w:ascii="Times New Roman" w:hAnsi="Times New Roman" w:cs="Times New Roman"/>
          <w:sz w:val="24"/>
          <w:szCs w:val="24"/>
          <w:lang w:val="ro-RO"/>
        </w:rPr>
        <w:t xml:space="preserve">de muncă </w:t>
      </w:r>
      <w:r w:rsidRPr="00644D4E">
        <w:rPr>
          <w:rFonts w:ascii="Times New Roman" w:hAnsi="Times New Roman" w:cs="Times New Roman"/>
          <w:sz w:val="24"/>
          <w:szCs w:val="24"/>
          <w:lang w:val="ro-RO"/>
        </w:rPr>
        <w:t>vacante rămâne în continuare concentrată în mediul urban (</w:t>
      </w:r>
      <w:r w:rsidRPr="00644D4E">
        <w:rPr>
          <w:rFonts w:ascii="Times New Roman" w:hAnsi="Times New Roman" w:cs="Times New Roman"/>
          <w:b/>
          <w:sz w:val="24"/>
          <w:szCs w:val="24"/>
          <w:lang w:val="ro-RO"/>
        </w:rPr>
        <w:t>87%</w:t>
      </w:r>
      <w:r w:rsidRPr="00644D4E">
        <w:rPr>
          <w:rFonts w:ascii="Times New Roman" w:hAnsi="Times New Roman" w:cs="Times New Roman"/>
          <w:sz w:val="24"/>
          <w:szCs w:val="24"/>
          <w:lang w:val="ro-RO"/>
        </w:rPr>
        <w:t>)</w:t>
      </w:r>
      <w:r w:rsidR="00386CE3" w:rsidRPr="00644D4E">
        <w:rPr>
          <w:rFonts w:ascii="Times New Roman" w:hAnsi="Times New Roman" w:cs="Times New Roman"/>
          <w:sz w:val="24"/>
          <w:szCs w:val="24"/>
          <w:lang w:val="ro-RO"/>
        </w:rPr>
        <w:t xml:space="preserve">, în rural fiind – </w:t>
      </w:r>
      <w:r w:rsidR="00386CE3" w:rsidRPr="00644D4E">
        <w:rPr>
          <w:rFonts w:ascii="Times New Roman" w:hAnsi="Times New Roman" w:cs="Times New Roman"/>
          <w:b/>
          <w:sz w:val="24"/>
          <w:szCs w:val="24"/>
          <w:lang w:val="ro-RO"/>
        </w:rPr>
        <w:t>13%</w:t>
      </w:r>
      <w:r w:rsidR="00386CE3" w:rsidRPr="00644D4E">
        <w:rPr>
          <w:rFonts w:ascii="Times New Roman" w:hAnsi="Times New Roman" w:cs="Times New Roman"/>
          <w:sz w:val="24"/>
          <w:szCs w:val="24"/>
          <w:lang w:val="ro-RO"/>
        </w:rPr>
        <w:t>.</w:t>
      </w:r>
      <w:r w:rsidRPr="00644D4E">
        <w:rPr>
          <w:rFonts w:ascii="Times New Roman" w:hAnsi="Times New Roman" w:cs="Times New Roman"/>
          <w:sz w:val="24"/>
          <w:szCs w:val="24"/>
          <w:lang w:val="ro-RO"/>
        </w:rPr>
        <w:t xml:space="preserve"> </w:t>
      </w:r>
      <w:r w:rsidR="00D85D75" w:rsidRPr="00644D4E">
        <w:rPr>
          <w:rFonts w:ascii="Times New Roman" w:hAnsi="Times New Roman" w:cs="Times New Roman"/>
          <w:sz w:val="24"/>
          <w:szCs w:val="24"/>
          <w:lang w:val="ro-RO"/>
        </w:rPr>
        <w:t>Comparativ cu anul precedent avem aceleași valori.</w:t>
      </w:r>
    </w:p>
    <w:p w14:paraId="24F5EE5E" w14:textId="77777777" w:rsidR="0030738E" w:rsidRPr="00644D4E" w:rsidRDefault="00C50972" w:rsidP="0030738E">
      <w:pPr>
        <w:spacing w:after="120" w:line="240" w:lineRule="auto"/>
        <w:jc w:val="both"/>
        <w:rPr>
          <w:rFonts w:ascii="Times New Roman" w:hAnsi="Times New Roman" w:cs="Times New Roman"/>
          <w:sz w:val="24"/>
          <w:szCs w:val="24"/>
          <w:lang w:val="ro-RO"/>
        </w:rPr>
      </w:pPr>
      <w:bookmarkStart w:id="31" w:name="_Toc40707655"/>
      <w:bookmarkStart w:id="32" w:name="_Toc40868846"/>
      <w:bookmarkStart w:id="33" w:name="_Toc138064745"/>
      <w:r w:rsidRPr="00644D4E">
        <w:rPr>
          <w:rStyle w:val="Heading3Char"/>
          <w:rFonts w:eastAsiaTheme="minorHAnsi"/>
          <w:color w:val="auto"/>
        </w:rPr>
        <w:t>2.3.4. Salarii.</w:t>
      </w:r>
      <w:bookmarkEnd w:id="31"/>
      <w:bookmarkEnd w:id="32"/>
      <w:bookmarkEnd w:id="33"/>
      <w:r w:rsidRPr="00644D4E">
        <w:rPr>
          <w:rFonts w:ascii="Times New Roman" w:hAnsi="Times New Roman" w:cs="Times New Roman"/>
          <w:sz w:val="24"/>
          <w:szCs w:val="24"/>
          <w:lang w:val="ro-RO"/>
        </w:rPr>
        <w:t xml:space="preserve"> </w:t>
      </w:r>
    </w:p>
    <w:p w14:paraId="67325F90" w14:textId="60E75006" w:rsidR="008A3D4E" w:rsidRPr="00644D4E" w:rsidRDefault="00C50972" w:rsidP="0030738E">
      <w:pPr>
        <w:spacing w:after="120" w:line="240" w:lineRule="auto"/>
        <w:jc w:val="both"/>
        <w:rPr>
          <w:rFonts w:ascii="Times New Roman" w:hAnsi="Times New Roman" w:cs="Times New Roman"/>
          <w:sz w:val="24"/>
          <w:szCs w:val="24"/>
          <w:lang w:val="ro-RO"/>
        </w:rPr>
      </w:pPr>
      <w:r w:rsidRPr="00644D4E">
        <w:rPr>
          <w:rFonts w:ascii="Times New Roman" w:hAnsi="Times New Roman" w:cs="Times New Roman"/>
          <w:sz w:val="24"/>
          <w:szCs w:val="24"/>
          <w:lang w:val="ro-RO"/>
        </w:rPr>
        <w:t xml:space="preserve">În clasificarea locurilor de muncă vacante după </w:t>
      </w:r>
      <w:r w:rsidRPr="00644D4E">
        <w:rPr>
          <w:rFonts w:ascii="Times New Roman" w:hAnsi="Times New Roman" w:cs="Times New Roman"/>
          <w:b/>
          <w:sz w:val="24"/>
          <w:szCs w:val="24"/>
          <w:lang w:val="ro-RO"/>
        </w:rPr>
        <w:t>salarii</w:t>
      </w:r>
      <w:r w:rsidR="008A3D4E" w:rsidRPr="00644D4E">
        <w:rPr>
          <w:rFonts w:ascii="Times New Roman" w:hAnsi="Times New Roman" w:cs="Times New Roman"/>
          <w:b/>
          <w:sz w:val="24"/>
          <w:szCs w:val="24"/>
          <w:lang w:val="ro-RO"/>
        </w:rPr>
        <w:t xml:space="preserve"> </w:t>
      </w:r>
      <w:r w:rsidR="008A3D4E" w:rsidRPr="00644D4E">
        <w:rPr>
          <w:rFonts w:ascii="Times New Roman" w:hAnsi="Times New Roman" w:cs="Times New Roman"/>
          <w:sz w:val="24"/>
          <w:szCs w:val="24"/>
          <w:lang w:val="ro-RO"/>
        </w:rPr>
        <w:t xml:space="preserve">(Figura 2.3.4.1) </w:t>
      </w:r>
      <w:r w:rsidRPr="00644D4E">
        <w:rPr>
          <w:rFonts w:ascii="Times New Roman" w:hAnsi="Times New Roman" w:cs="Times New Roman"/>
          <w:sz w:val="24"/>
          <w:szCs w:val="24"/>
          <w:lang w:val="ro-RO"/>
        </w:rPr>
        <w:t>se atestă modificări semnificative în comparație cu anul precedent</w:t>
      </w:r>
      <w:r w:rsidR="008A3D4E" w:rsidRPr="00644D4E">
        <w:rPr>
          <w:rFonts w:ascii="Times New Roman" w:hAnsi="Times New Roman" w:cs="Times New Roman"/>
          <w:sz w:val="24"/>
          <w:szCs w:val="24"/>
          <w:lang w:val="ro-RO"/>
        </w:rPr>
        <w:t xml:space="preserve">, indicând un trend pozitiv. Astfel, locurile vacante cu salarii mai mari de </w:t>
      </w:r>
      <w:r w:rsidR="008A3D4E" w:rsidRPr="00644D4E">
        <w:rPr>
          <w:rFonts w:ascii="Times New Roman" w:hAnsi="Times New Roman" w:cs="Times New Roman"/>
          <w:b/>
          <w:sz w:val="24"/>
          <w:szCs w:val="24"/>
          <w:lang w:val="ro-RO"/>
        </w:rPr>
        <w:t>5000 lei</w:t>
      </w:r>
      <w:r w:rsidR="008A3D4E" w:rsidRPr="00644D4E">
        <w:rPr>
          <w:rFonts w:ascii="Times New Roman" w:hAnsi="Times New Roman" w:cs="Times New Roman"/>
          <w:sz w:val="24"/>
          <w:szCs w:val="24"/>
          <w:lang w:val="ro-RO"/>
        </w:rPr>
        <w:t xml:space="preserve"> s-au majorat de la </w:t>
      </w:r>
      <w:r w:rsidR="005C6186" w:rsidRPr="00644D4E">
        <w:rPr>
          <w:rFonts w:ascii="Times New Roman" w:hAnsi="Times New Roman" w:cs="Times New Roman"/>
          <w:b/>
          <w:sz w:val="24"/>
          <w:szCs w:val="24"/>
          <w:lang w:val="ro-RO"/>
        </w:rPr>
        <w:t>40</w:t>
      </w:r>
      <w:r w:rsidR="008A3D4E" w:rsidRPr="00644D4E">
        <w:rPr>
          <w:rFonts w:ascii="Times New Roman" w:hAnsi="Times New Roman" w:cs="Times New Roman"/>
          <w:b/>
          <w:sz w:val="24"/>
          <w:szCs w:val="24"/>
          <w:lang w:val="ro-RO"/>
        </w:rPr>
        <w:t>%</w:t>
      </w:r>
      <w:r w:rsidR="008A3D4E" w:rsidRPr="00644D4E">
        <w:rPr>
          <w:rFonts w:ascii="Times New Roman" w:hAnsi="Times New Roman" w:cs="Times New Roman"/>
          <w:sz w:val="24"/>
          <w:szCs w:val="24"/>
          <w:lang w:val="ro-RO"/>
        </w:rPr>
        <w:t xml:space="preserve"> la </w:t>
      </w:r>
      <w:r w:rsidR="008A3D4E" w:rsidRPr="00644D4E">
        <w:rPr>
          <w:rFonts w:ascii="Times New Roman" w:hAnsi="Times New Roman" w:cs="Times New Roman"/>
          <w:b/>
          <w:sz w:val="24"/>
          <w:szCs w:val="24"/>
          <w:lang w:val="ro-RO"/>
        </w:rPr>
        <w:t>4</w:t>
      </w:r>
      <w:r w:rsidR="005C6186" w:rsidRPr="00644D4E">
        <w:rPr>
          <w:rFonts w:ascii="Times New Roman" w:hAnsi="Times New Roman" w:cs="Times New Roman"/>
          <w:b/>
          <w:sz w:val="24"/>
          <w:szCs w:val="24"/>
          <w:lang w:val="ro-RO"/>
        </w:rPr>
        <w:t>7</w:t>
      </w:r>
      <w:r w:rsidR="008A3D4E" w:rsidRPr="00644D4E">
        <w:rPr>
          <w:rFonts w:ascii="Times New Roman" w:hAnsi="Times New Roman" w:cs="Times New Roman"/>
          <w:b/>
          <w:sz w:val="24"/>
          <w:szCs w:val="24"/>
          <w:lang w:val="ro-RO"/>
        </w:rPr>
        <w:t>%</w:t>
      </w:r>
      <w:r w:rsidR="008A3D4E" w:rsidRPr="00644D4E">
        <w:rPr>
          <w:rFonts w:ascii="Times New Roman" w:hAnsi="Times New Roman" w:cs="Times New Roman"/>
          <w:sz w:val="24"/>
          <w:szCs w:val="24"/>
          <w:lang w:val="ro-RO"/>
        </w:rPr>
        <w:t xml:space="preserve">, iar cele mai mici de </w:t>
      </w:r>
      <w:r w:rsidR="008A3D4E" w:rsidRPr="00644D4E">
        <w:rPr>
          <w:rFonts w:ascii="Times New Roman" w:hAnsi="Times New Roman" w:cs="Times New Roman"/>
          <w:b/>
          <w:sz w:val="24"/>
          <w:szCs w:val="24"/>
          <w:lang w:val="ro-RO"/>
        </w:rPr>
        <w:t>3000 lei</w:t>
      </w:r>
      <w:r w:rsidR="008A3D4E" w:rsidRPr="00644D4E">
        <w:rPr>
          <w:rFonts w:ascii="Times New Roman" w:hAnsi="Times New Roman" w:cs="Times New Roman"/>
          <w:sz w:val="24"/>
          <w:szCs w:val="24"/>
          <w:lang w:val="ro-RO"/>
        </w:rPr>
        <w:t xml:space="preserve"> au scăzut de la </w:t>
      </w:r>
      <w:r w:rsidR="008A3D4E" w:rsidRPr="00644D4E">
        <w:rPr>
          <w:rFonts w:ascii="Times New Roman" w:hAnsi="Times New Roman" w:cs="Times New Roman"/>
          <w:b/>
          <w:sz w:val="24"/>
          <w:szCs w:val="24"/>
          <w:lang w:val="ro-RO"/>
        </w:rPr>
        <w:t>2%</w:t>
      </w:r>
      <w:r w:rsidR="008A3D4E" w:rsidRPr="00644D4E">
        <w:rPr>
          <w:rFonts w:ascii="Times New Roman" w:hAnsi="Times New Roman" w:cs="Times New Roman"/>
          <w:sz w:val="24"/>
          <w:szCs w:val="24"/>
          <w:lang w:val="ro-RO"/>
        </w:rPr>
        <w:t xml:space="preserve"> la </w:t>
      </w:r>
      <w:r w:rsidR="005C6186" w:rsidRPr="00644D4E">
        <w:rPr>
          <w:rFonts w:ascii="Times New Roman" w:hAnsi="Times New Roman" w:cs="Times New Roman"/>
          <w:b/>
          <w:sz w:val="24"/>
          <w:szCs w:val="24"/>
          <w:lang w:val="ro-RO"/>
        </w:rPr>
        <w:t>1</w:t>
      </w:r>
      <w:r w:rsidR="008A3D4E" w:rsidRPr="00644D4E">
        <w:rPr>
          <w:rFonts w:ascii="Times New Roman" w:hAnsi="Times New Roman" w:cs="Times New Roman"/>
          <w:b/>
          <w:sz w:val="24"/>
          <w:szCs w:val="24"/>
          <w:lang w:val="ro-RO"/>
        </w:rPr>
        <w:t>%</w:t>
      </w:r>
      <w:r w:rsidR="008A3D4E" w:rsidRPr="00644D4E">
        <w:rPr>
          <w:rFonts w:ascii="Times New Roman" w:hAnsi="Times New Roman" w:cs="Times New Roman"/>
          <w:sz w:val="24"/>
          <w:szCs w:val="24"/>
          <w:lang w:val="ro-RO"/>
        </w:rPr>
        <w:t xml:space="preserve">. </w:t>
      </w:r>
    </w:p>
    <w:p w14:paraId="1289168B" w14:textId="77777777" w:rsidR="00C50972" w:rsidRPr="00644D4E" w:rsidRDefault="00C50972" w:rsidP="004C6FFA">
      <w:pPr>
        <w:spacing w:after="60" w:line="240" w:lineRule="auto"/>
        <w:ind w:left="284"/>
        <w:jc w:val="center"/>
        <w:rPr>
          <w:rFonts w:ascii="Times New Roman" w:hAnsi="Times New Roman" w:cs="Times New Roman"/>
          <w:b/>
          <w:i/>
          <w:lang w:val="ro-RO"/>
        </w:rPr>
      </w:pPr>
      <w:r w:rsidRPr="00644D4E">
        <w:rPr>
          <w:rFonts w:ascii="Times New Roman" w:hAnsi="Times New Roman" w:cs="Times New Roman"/>
          <w:b/>
          <w:i/>
          <w:lang w:val="ro-RO"/>
        </w:rPr>
        <w:t>Fig. 2.3.4.1. Locuri vacante conform salariilor,%</w:t>
      </w:r>
    </w:p>
    <w:p w14:paraId="3032964F" w14:textId="77777777" w:rsidR="00C50972" w:rsidRPr="00644D4E" w:rsidRDefault="00C50972" w:rsidP="004C6FFA">
      <w:pPr>
        <w:spacing w:after="60" w:line="240" w:lineRule="auto"/>
        <w:ind w:left="284"/>
        <w:jc w:val="center"/>
        <w:rPr>
          <w:rFonts w:ascii="Times New Roman" w:hAnsi="Times New Roman" w:cs="Times New Roman"/>
          <w:b/>
          <w:i/>
          <w:lang w:val="ro-RO"/>
        </w:rPr>
      </w:pPr>
      <w:r w:rsidRPr="00644D4E">
        <w:rPr>
          <w:rFonts w:ascii="Times New Roman" w:hAnsi="Times New Roman" w:cs="Times New Roman"/>
          <w:b/>
          <w:i/>
          <w:lang w:val="ro-RO"/>
        </w:rPr>
        <w:drawing>
          <wp:inline distT="0" distB="0" distL="0" distR="0" wp14:anchorId="47634751" wp14:editId="46B3C053">
            <wp:extent cx="3826495" cy="1786516"/>
            <wp:effectExtent l="0" t="0" r="3175" b="4445"/>
            <wp:docPr id="41"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05D7D222" w14:textId="09C64D1D" w:rsidR="00DB2C3A" w:rsidRPr="00644D4E" w:rsidRDefault="00C50972" w:rsidP="0030738E">
      <w:pPr>
        <w:pStyle w:val="Heading1"/>
        <w:rPr>
          <w:b w:val="0"/>
          <w:sz w:val="16"/>
          <w:szCs w:val="16"/>
        </w:rPr>
      </w:pPr>
      <w:r w:rsidRPr="00644D4E">
        <w:t xml:space="preserve">  </w:t>
      </w:r>
      <w:bookmarkStart w:id="34" w:name="_Toc40865770"/>
      <w:r w:rsidRPr="00644D4E">
        <w:t xml:space="preserve">                      </w:t>
      </w:r>
      <w:bookmarkStart w:id="35" w:name="_Toc40868847"/>
      <w:bookmarkStart w:id="36" w:name="_Toc103063342"/>
      <w:bookmarkStart w:id="37" w:name="_Toc138064746"/>
      <w:r w:rsidRPr="00644D4E">
        <w:rPr>
          <w:b w:val="0"/>
          <w:sz w:val="16"/>
          <w:szCs w:val="16"/>
        </w:rPr>
        <w:t>Sursa: Baza de date ANOFM</w:t>
      </w:r>
      <w:bookmarkEnd w:id="34"/>
      <w:bookmarkEnd w:id="35"/>
      <w:bookmarkEnd w:id="36"/>
      <w:bookmarkEnd w:id="37"/>
      <w:r w:rsidRPr="00644D4E">
        <w:rPr>
          <w:b w:val="0"/>
          <w:sz w:val="16"/>
          <w:szCs w:val="16"/>
        </w:rPr>
        <w:t xml:space="preserve"> </w:t>
      </w:r>
      <w:bookmarkStart w:id="38" w:name="_Toc40868848"/>
      <w:bookmarkStart w:id="39" w:name="_Toc138064747"/>
    </w:p>
    <w:p w14:paraId="43A50F3C" w14:textId="77777777" w:rsidR="00C50972" w:rsidRPr="00644D4E" w:rsidRDefault="00C50972" w:rsidP="00C50972">
      <w:pPr>
        <w:pStyle w:val="Heading1"/>
      </w:pPr>
      <w:r w:rsidRPr="00644D4E">
        <w:lastRenderedPageBreak/>
        <w:t>Capitolul III. Politicile pieței muncii</w:t>
      </w:r>
      <w:bookmarkEnd w:id="38"/>
      <w:bookmarkEnd w:id="39"/>
    </w:p>
    <w:p w14:paraId="2E464312" w14:textId="2B49DE3A" w:rsidR="00C50972" w:rsidRPr="00644D4E" w:rsidRDefault="00C50972" w:rsidP="00C50972">
      <w:pPr>
        <w:pStyle w:val="Heading2"/>
      </w:pPr>
      <w:bookmarkStart w:id="40" w:name="_Toc40868849"/>
      <w:bookmarkStart w:id="41" w:name="_Toc138064748"/>
      <w:r w:rsidRPr="00644D4E">
        <w:t>3.1. Măsuri active ale pieței muncii</w:t>
      </w:r>
      <w:bookmarkEnd w:id="40"/>
      <w:bookmarkEnd w:id="41"/>
    </w:p>
    <w:p w14:paraId="5887CDF3" w14:textId="594CEF28" w:rsidR="00C50972" w:rsidRPr="00644D4E" w:rsidRDefault="00C50972" w:rsidP="006C49E8">
      <w:pPr>
        <w:tabs>
          <w:tab w:val="left" w:pos="0"/>
          <w:tab w:val="left" w:leader="dot" w:pos="8505"/>
        </w:tabs>
        <w:autoSpaceDE w:val="0"/>
        <w:autoSpaceDN w:val="0"/>
        <w:adjustRightInd w:val="0"/>
        <w:spacing w:after="120" w:line="240" w:lineRule="auto"/>
        <w:jc w:val="both"/>
        <w:rPr>
          <w:rFonts w:ascii="Times New Roman" w:hAnsi="Times New Roman" w:cs="Times New Roman"/>
          <w:iCs/>
          <w:sz w:val="24"/>
          <w:szCs w:val="24"/>
          <w:lang w:val="ro-RO"/>
        </w:rPr>
      </w:pPr>
      <w:r w:rsidRPr="00644D4E">
        <w:rPr>
          <w:rFonts w:ascii="Times New Roman" w:hAnsi="Times New Roman" w:cs="Times New Roman"/>
          <w:iCs/>
          <w:sz w:val="24"/>
          <w:szCs w:val="24"/>
          <w:lang w:val="ro-RO"/>
        </w:rPr>
        <w:t>A</w:t>
      </w:r>
      <w:r w:rsidR="0030738E" w:rsidRPr="00644D4E">
        <w:rPr>
          <w:rFonts w:ascii="Times New Roman" w:hAnsi="Times New Roman" w:cs="Times New Roman"/>
          <w:iCs/>
          <w:sz w:val="24"/>
          <w:szCs w:val="24"/>
          <w:lang w:val="ro-RO"/>
        </w:rPr>
        <w:t>NOFM</w:t>
      </w:r>
      <w:r w:rsidRPr="00644D4E">
        <w:rPr>
          <w:rFonts w:ascii="Times New Roman" w:hAnsi="Times New Roman" w:cs="Times New Roman"/>
          <w:iCs/>
          <w:sz w:val="24"/>
          <w:szCs w:val="24"/>
          <w:lang w:val="ro-RO"/>
        </w:rPr>
        <w:t xml:space="preserve"> prin intermediul subdiviziunilor teritoriale implementează următoarele măsuri active de ocupare a forței de muncă:</w:t>
      </w:r>
    </w:p>
    <w:p w14:paraId="6CF4B6E5" w14:textId="7CF4E1A7" w:rsidR="005204A0" w:rsidRPr="00644D4E" w:rsidRDefault="005204A0" w:rsidP="006C49E8">
      <w:pPr>
        <w:tabs>
          <w:tab w:val="left" w:pos="0"/>
          <w:tab w:val="left" w:leader="dot" w:pos="8505"/>
        </w:tabs>
        <w:autoSpaceDE w:val="0"/>
        <w:autoSpaceDN w:val="0"/>
        <w:adjustRightInd w:val="0"/>
        <w:spacing w:after="120" w:line="240" w:lineRule="auto"/>
        <w:jc w:val="both"/>
        <w:rPr>
          <w:rFonts w:ascii="Times New Roman" w:hAnsi="Times New Roman" w:cs="Times New Roman"/>
          <w:sz w:val="24"/>
          <w:szCs w:val="24"/>
          <w:lang w:val="ro-RO"/>
        </w:rPr>
      </w:pPr>
      <w:r w:rsidRPr="00644D4E">
        <w:rPr>
          <w:rFonts w:ascii="Times New Roman" w:hAnsi="Times New Roman" w:cs="Times New Roman"/>
          <w:b/>
          <w:sz w:val="24"/>
          <w:szCs w:val="24"/>
          <w:lang w:val="ro-RO"/>
        </w:rPr>
        <w:t>Formarea profesională</w:t>
      </w:r>
      <w:r w:rsidRPr="00644D4E">
        <w:rPr>
          <w:rFonts w:ascii="Times New Roman" w:hAnsi="Times New Roman" w:cs="Times New Roman"/>
          <w:sz w:val="24"/>
          <w:szCs w:val="24"/>
          <w:lang w:val="ro-RO"/>
        </w:rPr>
        <w:t xml:space="preserve"> a șomerilor prin cursuri pe bază de voucher asigură implementarea prevederilor art.</w:t>
      </w:r>
      <w:r w:rsidR="0030738E" w:rsidRPr="00644D4E">
        <w:rPr>
          <w:rFonts w:ascii="Times New Roman" w:hAnsi="Times New Roman" w:cs="Times New Roman"/>
          <w:sz w:val="24"/>
          <w:szCs w:val="24"/>
          <w:lang w:val="ro-RO"/>
        </w:rPr>
        <w:t xml:space="preserve"> </w:t>
      </w:r>
      <w:r w:rsidRPr="00644D4E">
        <w:rPr>
          <w:rFonts w:ascii="Times New Roman" w:hAnsi="Times New Roman" w:cs="Times New Roman"/>
          <w:sz w:val="24"/>
          <w:szCs w:val="24"/>
          <w:lang w:val="ro-RO"/>
        </w:rPr>
        <w:t xml:space="preserve">32 din Legea nr.105/2018 cu privire la promovarea ocupării </w:t>
      </w:r>
      <w:proofErr w:type="spellStart"/>
      <w:r w:rsidRPr="00644D4E">
        <w:rPr>
          <w:rFonts w:ascii="Times New Roman" w:hAnsi="Times New Roman" w:cs="Times New Roman"/>
          <w:sz w:val="24"/>
          <w:szCs w:val="24"/>
          <w:lang w:val="ro-RO"/>
        </w:rPr>
        <w:t>forţei</w:t>
      </w:r>
      <w:proofErr w:type="spellEnd"/>
      <w:r w:rsidRPr="00644D4E">
        <w:rPr>
          <w:rFonts w:ascii="Times New Roman" w:hAnsi="Times New Roman" w:cs="Times New Roman"/>
          <w:sz w:val="24"/>
          <w:szCs w:val="24"/>
          <w:lang w:val="ro-RO"/>
        </w:rPr>
        <w:t xml:space="preserve"> de muncă și asigurarea de șomaj de către ANOFM prin intermediul subdiviziunilor teritoriale pentru ocuparea forței de muncă (STOFM). Cursurile de formare profesională se realizează în cadrul prestatorilor de formare profesională publici sau privați, care au programe de formare profesională acreditate sau autorizate provizoriu la meseriile /profesiile /specialitățile incluse în Nomenclatorul domeniilor de formare profesională și al meseriilor /profesiilor, Nomenclatorul domeniilor de formare profesională al specialităților și calificărilor pentru învățământul profesional tehnic </w:t>
      </w:r>
      <w:proofErr w:type="spellStart"/>
      <w:r w:rsidRPr="00644D4E">
        <w:rPr>
          <w:rFonts w:ascii="Times New Roman" w:hAnsi="Times New Roman" w:cs="Times New Roman"/>
          <w:sz w:val="24"/>
          <w:szCs w:val="24"/>
          <w:lang w:val="ro-RO"/>
        </w:rPr>
        <w:t>postsecundar</w:t>
      </w:r>
      <w:proofErr w:type="spellEnd"/>
      <w:r w:rsidRPr="00644D4E">
        <w:rPr>
          <w:rFonts w:ascii="Times New Roman" w:hAnsi="Times New Roman" w:cs="Times New Roman"/>
          <w:sz w:val="24"/>
          <w:szCs w:val="24"/>
          <w:lang w:val="ro-RO"/>
        </w:rPr>
        <w:t xml:space="preserve"> și </w:t>
      </w:r>
      <w:proofErr w:type="spellStart"/>
      <w:r w:rsidRPr="00644D4E">
        <w:rPr>
          <w:rFonts w:ascii="Times New Roman" w:hAnsi="Times New Roman" w:cs="Times New Roman"/>
          <w:sz w:val="24"/>
          <w:szCs w:val="24"/>
          <w:lang w:val="ro-RO"/>
        </w:rPr>
        <w:t>postsecundar</w:t>
      </w:r>
      <w:proofErr w:type="spellEnd"/>
      <w:r w:rsidRPr="00644D4E">
        <w:rPr>
          <w:rFonts w:ascii="Times New Roman" w:hAnsi="Times New Roman" w:cs="Times New Roman"/>
          <w:sz w:val="24"/>
          <w:szCs w:val="24"/>
          <w:lang w:val="ro-RO"/>
        </w:rPr>
        <w:t xml:space="preserve"> </w:t>
      </w:r>
      <w:proofErr w:type="spellStart"/>
      <w:r w:rsidRPr="00644D4E">
        <w:rPr>
          <w:rFonts w:ascii="Times New Roman" w:hAnsi="Times New Roman" w:cs="Times New Roman"/>
          <w:sz w:val="24"/>
          <w:szCs w:val="24"/>
          <w:lang w:val="ro-RO"/>
        </w:rPr>
        <w:t>nonterțiar</w:t>
      </w:r>
      <w:proofErr w:type="spellEnd"/>
      <w:r w:rsidRPr="00644D4E">
        <w:rPr>
          <w:rFonts w:ascii="Times New Roman" w:hAnsi="Times New Roman" w:cs="Times New Roman"/>
          <w:sz w:val="24"/>
          <w:szCs w:val="24"/>
          <w:lang w:val="ro-RO"/>
        </w:rPr>
        <w:t xml:space="preserve"> și Clasificatorul ocupațiilor din Republica Moldova. Pentru implementarea măsurii de formare profesională prin cursuri pe bază de voucher au fost contractați 28 de prestatori de servicii de formare profesională, care au avut disponibile pentru instruire 54 meserii /profesii /programe de formare profesională. </w:t>
      </w:r>
    </w:p>
    <w:p w14:paraId="0319644F" w14:textId="77777777" w:rsidR="005204A0" w:rsidRPr="00644D4E" w:rsidRDefault="005204A0" w:rsidP="006C49E8">
      <w:pPr>
        <w:tabs>
          <w:tab w:val="left" w:pos="0"/>
          <w:tab w:val="left" w:leader="dot" w:pos="8505"/>
        </w:tabs>
        <w:autoSpaceDE w:val="0"/>
        <w:autoSpaceDN w:val="0"/>
        <w:adjustRightInd w:val="0"/>
        <w:spacing w:after="120" w:line="240" w:lineRule="auto"/>
        <w:jc w:val="both"/>
        <w:rPr>
          <w:rFonts w:ascii="Times New Roman" w:hAnsi="Times New Roman" w:cs="Times New Roman"/>
          <w:iCs/>
          <w:sz w:val="24"/>
          <w:szCs w:val="24"/>
          <w:lang w:val="ro-RO"/>
        </w:rPr>
      </w:pPr>
      <w:r w:rsidRPr="00644D4E">
        <w:rPr>
          <w:rFonts w:ascii="Times New Roman" w:hAnsi="Times New Roman" w:cs="Times New Roman"/>
          <w:sz w:val="24"/>
          <w:szCs w:val="24"/>
          <w:lang w:val="ro-RO"/>
        </w:rPr>
        <w:t xml:space="preserve">Pe parcursul anului 2023, au fost înmatriculați 762 șomeri la cursuri de formare profesională pe bază de voucher. În aceeași perioadă, au absolvit cursurile de formare profesională </w:t>
      </w:r>
      <w:r w:rsidRPr="00644D4E">
        <w:rPr>
          <w:rFonts w:ascii="Times New Roman" w:hAnsi="Times New Roman" w:cs="Times New Roman"/>
          <w:b/>
          <w:sz w:val="24"/>
          <w:szCs w:val="24"/>
          <w:lang w:val="ro-RO"/>
        </w:rPr>
        <w:t>786</w:t>
      </w:r>
      <w:r w:rsidRPr="00644D4E">
        <w:rPr>
          <w:rFonts w:ascii="Times New Roman" w:hAnsi="Times New Roman" w:cs="Times New Roman"/>
          <w:sz w:val="24"/>
          <w:szCs w:val="24"/>
          <w:lang w:val="ro-RO"/>
        </w:rPr>
        <w:t xml:space="preserve"> </w:t>
      </w:r>
      <w:proofErr w:type="spellStart"/>
      <w:r w:rsidRPr="00644D4E">
        <w:rPr>
          <w:rFonts w:ascii="Times New Roman" w:hAnsi="Times New Roman" w:cs="Times New Roman"/>
          <w:sz w:val="24"/>
          <w:szCs w:val="24"/>
          <w:lang w:val="ro-RO"/>
        </w:rPr>
        <w:t>şomeri</w:t>
      </w:r>
      <w:proofErr w:type="spellEnd"/>
      <w:r w:rsidRPr="00644D4E">
        <w:rPr>
          <w:rFonts w:ascii="Times New Roman" w:hAnsi="Times New Roman" w:cs="Times New Roman"/>
          <w:sz w:val="24"/>
          <w:szCs w:val="24"/>
          <w:lang w:val="ro-RO"/>
        </w:rPr>
        <w:t xml:space="preserve"> (inclusiv șomeri care au fost înmatriculați la cursuri în anul 2022). 138 șomeri </w:t>
      </w:r>
      <w:proofErr w:type="spellStart"/>
      <w:r w:rsidRPr="00644D4E">
        <w:rPr>
          <w:rFonts w:ascii="Times New Roman" w:hAnsi="Times New Roman" w:cs="Times New Roman"/>
          <w:sz w:val="24"/>
          <w:szCs w:val="24"/>
          <w:lang w:val="ro-RO"/>
        </w:rPr>
        <w:t>înmactriculați</w:t>
      </w:r>
      <w:proofErr w:type="spellEnd"/>
      <w:r w:rsidRPr="00644D4E">
        <w:rPr>
          <w:rFonts w:ascii="Times New Roman" w:hAnsi="Times New Roman" w:cs="Times New Roman"/>
          <w:sz w:val="24"/>
          <w:szCs w:val="24"/>
          <w:lang w:val="ro-RO"/>
        </w:rPr>
        <w:t xml:space="preserve"> la cursuri de formare profesională urmează să absolve în anul 2024.</w:t>
      </w:r>
    </w:p>
    <w:p w14:paraId="0029DA95" w14:textId="77777777" w:rsidR="00EF3B30" w:rsidRPr="00644D4E" w:rsidRDefault="00C50972" w:rsidP="006C49E8">
      <w:pPr>
        <w:pStyle w:val="NoSpacing"/>
        <w:spacing w:after="120"/>
        <w:jc w:val="both"/>
        <w:rPr>
          <w:rFonts w:ascii="Times New Roman" w:hAnsi="Times New Roman" w:cs="Times New Roman"/>
          <w:sz w:val="24"/>
          <w:szCs w:val="24"/>
          <w:lang w:val="ro-RO"/>
        </w:rPr>
      </w:pPr>
      <w:r w:rsidRPr="00644D4E">
        <w:rPr>
          <w:rFonts w:ascii="Times New Roman" w:hAnsi="Times New Roman" w:cs="Times New Roman"/>
          <w:sz w:val="24"/>
          <w:szCs w:val="24"/>
          <w:lang w:val="ro-RO"/>
        </w:rPr>
        <w:t>Cele mai solicitate profesii</w:t>
      </w:r>
      <w:r w:rsidR="00EF3B30" w:rsidRPr="00644D4E">
        <w:rPr>
          <w:rFonts w:ascii="Times New Roman" w:hAnsi="Times New Roman" w:cs="Times New Roman"/>
          <w:sz w:val="24"/>
          <w:szCs w:val="24"/>
          <w:lang w:val="ro-RO"/>
        </w:rPr>
        <w:t>/meserii</w:t>
      </w:r>
      <w:r w:rsidRPr="00644D4E">
        <w:rPr>
          <w:rFonts w:ascii="Times New Roman" w:hAnsi="Times New Roman" w:cs="Times New Roman"/>
          <w:sz w:val="24"/>
          <w:szCs w:val="24"/>
          <w:lang w:val="ro-RO"/>
        </w:rPr>
        <w:t xml:space="preserve"> pentru </w:t>
      </w:r>
      <w:r w:rsidR="00EF3B30" w:rsidRPr="00644D4E">
        <w:rPr>
          <w:rFonts w:ascii="Times New Roman" w:hAnsi="Times New Roman" w:cs="Times New Roman"/>
          <w:sz w:val="24"/>
          <w:szCs w:val="24"/>
          <w:lang w:val="ro-RO"/>
        </w:rPr>
        <w:t>cursuri de formare profesională pe bază de voucher de către șomeri</w:t>
      </w:r>
      <w:r w:rsidRPr="00644D4E">
        <w:rPr>
          <w:rFonts w:ascii="Times New Roman" w:hAnsi="Times New Roman" w:cs="Times New Roman"/>
          <w:sz w:val="24"/>
          <w:szCs w:val="24"/>
          <w:lang w:val="ro-RO"/>
        </w:rPr>
        <w:t xml:space="preserve"> au fost: bucătar</w:t>
      </w:r>
      <w:r w:rsidR="00332A37" w:rsidRPr="00644D4E">
        <w:rPr>
          <w:rFonts w:ascii="Times New Roman" w:hAnsi="Times New Roman" w:cs="Times New Roman"/>
          <w:sz w:val="24"/>
          <w:szCs w:val="24"/>
          <w:lang w:val="ro-RO"/>
        </w:rPr>
        <w:t>/bucătăreasă</w:t>
      </w:r>
      <w:r w:rsidRPr="00644D4E">
        <w:rPr>
          <w:rFonts w:ascii="Times New Roman" w:hAnsi="Times New Roman" w:cs="Times New Roman"/>
          <w:sz w:val="24"/>
          <w:szCs w:val="24"/>
          <w:lang w:val="ro-RO"/>
        </w:rPr>
        <w:t>, frizer</w:t>
      </w:r>
      <w:r w:rsidR="00332A37" w:rsidRPr="00644D4E">
        <w:rPr>
          <w:rFonts w:ascii="Times New Roman" w:hAnsi="Times New Roman" w:cs="Times New Roman"/>
          <w:sz w:val="24"/>
          <w:szCs w:val="24"/>
          <w:lang w:val="ro-RO"/>
        </w:rPr>
        <w:t>/frizeriță</w:t>
      </w:r>
      <w:r w:rsidRPr="00644D4E">
        <w:rPr>
          <w:rFonts w:ascii="Times New Roman" w:hAnsi="Times New Roman" w:cs="Times New Roman"/>
          <w:sz w:val="24"/>
          <w:szCs w:val="24"/>
          <w:lang w:val="ro-RO"/>
        </w:rPr>
        <w:t>, contabil</w:t>
      </w:r>
      <w:r w:rsidR="00332A37" w:rsidRPr="00644D4E">
        <w:rPr>
          <w:rFonts w:ascii="Times New Roman" w:hAnsi="Times New Roman" w:cs="Times New Roman"/>
          <w:sz w:val="24"/>
          <w:szCs w:val="24"/>
          <w:lang w:val="ro-RO"/>
        </w:rPr>
        <w:t>/contabilă</w:t>
      </w:r>
      <w:r w:rsidRPr="00644D4E">
        <w:rPr>
          <w:rFonts w:ascii="Times New Roman" w:hAnsi="Times New Roman" w:cs="Times New Roman"/>
          <w:sz w:val="24"/>
          <w:szCs w:val="24"/>
          <w:lang w:val="ro-RO"/>
        </w:rPr>
        <w:t xml:space="preserve">, </w:t>
      </w:r>
      <w:r w:rsidR="00332A37" w:rsidRPr="00644D4E">
        <w:rPr>
          <w:rFonts w:ascii="Times New Roman" w:hAnsi="Times New Roman" w:cs="Times New Roman"/>
          <w:sz w:val="24"/>
          <w:szCs w:val="24"/>
          <w:lang w:val="ro-RO"/>
        </w:rPr>
        <w:t xml:space="preserve">operator/operatoare la calculator, </w:t>
      </w:r>
      <w:r w:rsidR="00EF3B30" w:rsidRPr="00644D4E">
        <w:rPr>
          <w:rFonts w:ascii="Times New Roman" w:hAnsi="Times New Roman" w:cs="Times New Roman"/>
          <w:sz w:val="24"/>
          <w:szCs w:val="24"/>
          <w:lang w:val="ro-RO"/>
        </w:rPr>
        <w:t xml:space="preserve">maseur/maseuză, </w:t>
      </w:r>
      <w:proofErr w:type="spellStart"/>
      <w:r w:rsidR="00EF3B30" w:rsidRPr="00644D4E">
        <w:rPr>
          <w:rFonts w:ascii="Times New Roman" w:hAnsi="Times New Roman" w:cs="Times New Roman"/>
          <w:sz w:val="24"/>
          <w:szCs w:val="24"/>
          <w:lang w:val="ro-RO"/>
        </w:rPr>
        <w:t>electromontor</w:t>
      </w:r>
      <w:proofErr w:type="spellEnd"/>
      <w:r w:rsidR="00EF3B30" w:rsidRPr="00644D4E">
        <w:rPr>
          <w:rFonts w:ascii="Times New Roman" w:hAnsi="Times New Roman" w:cs="Times New Roman"/>
          <w:sz w:val="24"/>
          <w:szCs w:val="24"/>
          <w:lang w:val="ro-RO"/>
        </w:rPr>
        <w:t xml:space="preserve">, mecanic/mecanică-auto, lăcătuș-instalator tehnică sanitară, etc. </w:t>
      </w:r>
    </w:p>
    <w:p w14:paraId="60B33C3A" w14:textId="77777777" w:rsidR="00C50972" w:rsidRPr="00644D4E" w:rsidRDefault="00C50972" w:rsidP="006C49E8">
      <w:pPr>
        <w:pStyle w:val="NoSpacing"/>
        <w:spacing w:after="120"/>
        <w:jc w:val="both"/>
        <w:rPr>
          <w:rFonts w:ascii="Times New Roman" w:hAnsi="Times New Roman" w:cs="Times New Roman"/>
          <w:sz w:val="24"/>
          <w:szCs w:val="24"/>
          <w:lang w:val="ro-RO"/>
        </w:rPr>
      </w:pPr>
      <w:r w:rsidRPr="00644D4E">
        <w:rPr>
          <w:rFonts w:ascii="Times New Roman" w:hAnsi="Times New Roman" w:cs="Times New Roman"/>
          <w:sz w:val="24"/>
          <w:szCs w:val="24"/>
          <w:lang w:val="ro-RO"/>
        </w:rPr>
        <w:t>Ca rezultat al absolvirii cursurilor de formare profesională</w:t>
      </w:r>
      <w:r w:rsidR="00EF3B30" w:rsidRPr="00644D4E">
        <w:rPr>
          <w:rFonts w:ascii="Times New Roman" w:hAnsi="Times New Roman" w:cs="Times New Roman"/>
          <w:sz w:val="24"/>
          <w:szCs w:val="24"/>
          <w:lang w:val="ro-RO"/>
        </w:rPr>
        <w:t xml:space="preserve"> pe bază de voucher</w:t>
      </w:r>
      <w:r w:rsidRPr="00644D4E">
        <w:rPr>
          <w:rFonts w:ascii="Times New Roman" w:hAnsi="Times New Roman" w:cs="Times New Roman"/>
          <w:sz w:val="24"/>
          <w:szCs w:val="24"/>
          <w:lang w:val="ro-RO"/>
        </w:rPr>
        <w:t xml:space="preserve">, au fost plasați în câmpul muncii </w:t>
      </w:r>
      <w:r w:rsidR="00EF3B30" w:rsidRPr="00644D4E">
        <w:rPr>
          <w:rFonts w:ascii="Times New Roman" w:hAnsi="Times New Roman" w:cs="Times New Roman"/>
          <w:b/>
          <w:sz w:val="24"/>
          <w:szCs w:val="24"/>
          <w:lang w:val="ro-RO"/>
        </w:rPr>
        <w:t>521</w:t>
      </w:r>
      <w:r w:rsidR="00EF3B30" w:rsidRPr="00644D4E">
        <w:rPr>
          <w:rFonts w:ascii="Times New Roman" w:hAnsi="Times New Roman" w:cs="Times New Roman"/>
          <w:sz w:val="24"/>
          <w:szCs w:val="24"/>
          <w:lang w:val="ro-RO"/>
        </w:rPr>
        <w:t xml:space="preserve"> șomeri (</w:t>
      </w:r>
      <w:r w:rsidRPr="00644D4E">
        <w:rPr>
          <w:rFonts w:ascii="Times New Roman" w:hAnsi="Times New Roman" w:cs="Times New Roman"/>
          <w:b/>
          <w:sz w:val="24"/>
          <w:szCs w:val="24"/>
          <w:lang w:val="ro-RO"/>
        </w:rPr>
        <w:t>6</w:t>
      </w:r>
      <w:r w:rsidR="00EF3B30" w:rsidRPr="00644D4E">
        <w:rPr>
          <w:rFonts w:ascii="Times New Roman" w:hAnsi="Times New Roman" w:cs="Times New Roman"/>
          <w:b/>
          <w:sz w:val="24"/>
          <w:szCs w:val="24"/>
          <w:lang w:val="ro-RO"/>
        </w:rPr>
        <w:t>6</w:t>
      </w:r>
      <w:r w:rsidRPr="00644D4E">
        <w:rPr>
          <w:rFonts w:ascii="Times New Roman" w:hAnsi="Times New Roman" w:cs="Times New Roman"/>
          <w:b/>
          <w:sz w:val="24"/>
          <w:szCs w:val="24"/>
          <w:lang w:val="ro-RO"/>
        </w:rPr>
        <w:t>%</w:t>
      </w:r>
      <w:r w:rsidRPr="00644D4E">
        <w:rPr>
          <w:rFonts w:ascii="Times New Roman" w:hAnsi="Times New Roman" w:cs="Times New Roman"/>
          <w:sz w:val="24"/>
          <w:szCs w:val="24"/>
          <w:lang w:val="ro-RO"/>
        </w:rPr>
        <w:t xml:space="preserve"> </w:t>
      </w:r>
      <w:r w:rsidR="00EF3B30" w:rsidRPr="00644D4E">
        <w:rPr>
          <w:rFonts w:ascii="Times New Roman" w:hAnsi="Times New Roman" w:cs="Times New Roman"/>
          <w:sz w:val="24"/>
          <w:szCs w:val="24"/>
          <w:lang w:val="ro-RO"/>
        </w:rPr>
        <w:t xml:space="preserve">din total absolvenți) </w:t>
      </w:r>
      <w:r w:rsidR="00332A37" w:rsidRPr="00644D4E">
        <w:rPr>
          <w:rFonts w:ascii="Times New Roman" w:hAnsi="Times New Roman" w:cs="Times New Roman"/>
          <w:sz w:val="24"/>
          <w:szCs w:val="24"/>
          <w:lang w:val="ro-RO"/>
        </w:rPr>
        <w:t xml:space="preserve">sau cu </w:t>
      </w:r>
      <w:r w:rsidR="00EF3B30" w:rsidRPr="00644D4E">
        <w:rPr>
          <w:rFonts w:ascii="Times New Roman" w:hAnsi="Times New Roman" w:cs="Times New Roman"/>
          <w:sz w:val="24"/>
          <w:szCs w:val="24"/>
          <w:lang w:val="ro-RO"/>
        </w:rPr>
        <w:t>2</w:t>
      </w:r>
      <w:r w:rsidR="00332A37" w:rsidRPr="00644D4E">
        <w:rPr>
          <w:rFonts w:ascii="Times New Roman" w:hAnsi="Times New Roman" w:cs="Times New Roman"/>
          <w:sz w:val="24"/>
          <w:szCs w:val="24"/>
          <w:lang w:val="ro-RO"/>
        </w:rPr>
        <w:t xml:space="preserve"> </w:t>
      </w:r>
      <w:proofErr w:type="spellStart"/>
      <w:r w:rsidR="00332A37" w:rsidRPr="00644D4E">
        <w:rPr>
          <w:rFonts w:ascii="Times New Roman" w:hAnsi="Times New Roman" w:cs="Times New Roman"/>
          <w:sz w:val="24"/>
          <w:szCs w:val="24"/>
          <w:lang w:val="ro-RO"/>
        </w:rPr>
        <w:t>p.p</w:t>
      </w:r>
      <w:proofErr w:type="spellEnd"/>
      <w:r w:rsidR="00332A37" w:rsidRPr="00644D4E">
        <w:rPr>
          <w:rFonts w:ascii="Times New Roman" w:hAnsi="Times New Roman" w:cs="Times New Roman"/>
          <w:sz w:val="24"/>
          <w:szCs w:val="24"/>
          <w:lang w:val="ro-RO"/>
        </w:rPr>
        <w:t xml:space="preserve"> mai </w:t>
      </w:r>
      <w:r w:rsidR="00EF3B30" w:rsidRPr="00644D4E">
        <w:rPr>
          <w:rFonts w:ascii="Times New Roman" w:hAnsi="Times New Roman" w:cs="Times New Roman"/>
          <w:sz w:val="24"/>
          <w:szCs w:val="24"/>
          <w:lang w:val="ro-RO"/>
        </w:rPr>
        <w:t xml:space="preserve">puțin </w:t>
      </w:r>
      <w:r w:rsidR="00332A37" w:rsidRPr="00644D4E">
        <w:rPr>
          <w:rFonts w:ascii="Times New Roman" w:hAnsi="Times New Roman" w:cs="Times New Roman"/>
          <w:sz w:val="24"/>
          <w:szCs w:val="24"/>
          <w:lang w:val="ro-RO"/>
        </w:rPr>
        <w:t>ca în 202</w:t>
      </w:r>
      <w:r w:rsidR="00EF3B30" w:rsidRPr="00644D4E">
        <w:rPr>
          <w:rFonts w:ascii="Times New Roman" w:hAnsi="Times New Roman" w:cs="Times New Roman"/>
          <w:sz w:val="24"/>
          <w:szCs w:val="24"/>
          <w:lang w:val="ro-RO"/>
        </w:rPr>
        <w:t>2</w:t>
      </w:r>
      <w:r w:rsidRPr="00644D4E">
        <w:rPr>
          <w:rFonts w:ascii="Times New Roman" w:hAnsi="Times New Roman" w:cs="Times New Roman"/>
          <w:sz w:val="24"/>
          <w:szCs w:val="24"/>
          <w:lang w:val="ro-RO"/>
        </w:rPr>
        <w:t xml:space="preserve">. </w:t>
      </w:r>
    </w:p>
    <w:p w14:paraId="571A7373" w14:textId="5981BAE1" w:rsidR="0023698D" w:rsidRPr="00644D4E" w:rsidRDefault="0023698D" w:rsidP="006C49E8">
      <w:pPr>
        <w:pStyle w:val="NoSpacing"/>
        <w:spacing w:after="120"/>
        <w:jc w:val="both"/>
        <w:rPr>
          <w:rFonts w:ascii="Times New Roman" w:hAnsi="Times New Roman" w:cs="Times New Roman"/>
          <w:sz w:val="24"/>
          <w:szCs w:val="24"/>
          <w:lang w:val="ro-RO"/>
        </w:rPr>
      </w:pPr>
      <w:r w:rsidRPr="00644D4E">
        <w:rPr>
          <w:rFonts w:ascii="Times New Roman" w:hAnsi="Times New Roman" w:cs="Times New Roman"/>
          <w:sz w:val="24"/>
          <w:szCs w:val="24"/>
          <w:lang w:val="ro-RO"/>
        </w:rPr>
        <w:t>P</w:t>
      </w:r>
      <w:r w:rsidR="002D65B0" w:rsidRPr="00644D4E">
        <w:rPr>
          <w:rFonts w:ascii="Times New Roman" w:hAnsi="Times New Roman" w:cs="Times New Roman"/>
          <w:sz w:val="24"/>
          <w:szCs w:val="24"/>
          <w:lang w:val="ro-RO"/>
        </w:rPr>
        <w:t>e parcursul anului</w:t>
      </w:r>
      <w:r w:rsidR="00C50972" w:rsidRPr="00644D4E">
        <w:rPr>
          <w:rFonts w:ascii="Times New Roman" w:hAnsi="Times New Roman" w:cs="Times New Roman"/>
          <w:sz w:val="24"/>
          <w:szCs w:val="24"/>
          <w:lang w:val="ro-RO"/>
        </w:rPr>
        <w:t xml:space="preserve"> 202</w:t>
      </w:r>
      <w:r w:rsidR="001B3BF2" w:rsidRPr="00644D4E">
        <w:rPr>
          <w:rFonts w:ascii="Times New Roman" w:hAnsi="Times New Roman" w:cs="Times New Roman"/>
          <w:sz w:val="24"/>
          <w:szCs w:val="24"/>
          <w:lang w:val="ro-RO"/>
        </w:rPr>
        <w:t>3</w:t>
      </w:r>
      <w:r w:rsidR="00C50972" w:rsidRPr="00644D4E">
        <w:rPr>
          <w:rFonts w:ascii="Times New Roman" w:hAnsi="Times New Roman" w:cs="Times New Roman"/>
          <w:sz w:val="24"/>
          <w:szCs w:val="24"/>
          <w:lang w:val="ro-RO"/>
        </w:rPr>
        <w:t xml:space="preserve"> au </w:t>
      </w:r>
      <w:r w:rsidR="002D65B0" w:rsidRPr="00644D4E">
        <w:rPr>
          <w:rFonts w:ascii="Times New Roman" w:hAnsi="Times New Roman" w:cs="Times New Roman"/>
          <w:sz w:val="24"/>
          <w:szCs w:val="24"/>
          <w:lang w:val="ro-RO"/>
        </w:rPr>
        <w:t>a</w:t>
      </w:r>
      <w:r w:rsidR="00C50972" w:rsidRPr="00644D4E">
        <w:rPr>
          <w:rFonts w:ascii="Times New Roman" w:hAnsi="Times New Roman" w:cs="Times New Roman"/>
          <w:sz w:val="24"/>
          <w:szCs w:val="24"/>
          <w:lang w:val="ro-RO"/>
        </w:rPr>
        <w:t xml:space="preserve">bsolvit </w:t>
      </w:r>
      <w:r w:rsidR="00C50972" w:rsidRPr="00644D4E">
        <w:rPr>
          <w:rFonts w:ascii="Times New Roman" w:hAnsi="Times New Roman" w:cs="Times New Roman"/>
          <w:b/>
          <w:bCs/>
          <w:sz w:val="24"/>
          <w:szCs w:val="24"/>
          <w:lang w:val="ro-RO"/>
        </w:rPr>
        <w:t>instruirea la</w:t>
      </w:r>
      <w:r w:rsidR="00057711" w:rsidRPr="00644D4E">
        <w:rPr>
          <w:rFonts w:ascii="Times New Roman" w:hAnsi="Times New Roman" w:cs="Times New Roman"/>
          <w:b/>
          <w:bCs/>
          <w:sz w:val="24"/>
          <w:szCs w:val="24"/>
          <w:lang w:val="ro-RO"/>
        </w:rPr>
        <w:t xml:space="preserve"> locul de muncă</w:t>
      </w:r>
      <w:r w:rsidRPr="00644D4E">
        <w:rPr>
          <w:rStyle w:val="Strong"/>
          <w:rFonts w:ascii="Times New Roman" w:hAnsi="Times New Roman" w:cs="Times New Roman"/>
          <w:b w:val="0"/>
          <w:sz w:val="24"/>
          <w:szCs w:val="24"/>
          <w:lang w:val="ro-RO"/>
        </w:rPr>
        <w:t xml:space="preserve"> în cadrul unității</w:t>
      </w:r>
      <w:r w:rsidR="00057711" w:rsidRPr="00644D4E">
        <w:rPr>
          <w:rFonts w:ascii="Times New Roman" w:hAnsi="Times New Roman" w:cs="Times New Roman"/>
          <w:sz w:val="24"/>
          <w:szCs w:val="24"/>
          <w:lang w:val="ro-RO"/>
        </w:rPr>
        <w:t xml:space="preserve"> </w:t>
      </w:r>
      <w:r w:rsidR="00057711" w:rsidRPr="00644D4E">
        <w:rPr>
          <w:rFonts w:ascii="Times New Roman" w:hAnsi="Times New Roman" w:cs="Times New Roman"/>
          <w:b/>
          <w:sz w:val="24"/>
          <w:szCs w:val="24"/>
          <w:lang w:val="ro-RO"/>
        </w:rPr>
        <w:t>12</w:t>
      </w:r>
      <w:r w:rsidR="001B3BF2" w:rsidRPr="00644D4E">
        <w:rPr>
          <w:rFonts w:ascii="Times New Roman" w:hAnsi="Times New Roman" w:cs="Times New Roman"/>
          <w:b/>
          <w:sz w:val="24"/>
          <w:szCs w:val="24"/>
          <w:lang w:val="ro-RO"/>
        </w:rPr>
        <w:t>0</w:t>
      </w:r>
      <w:r w:rsidR="00057711" w:rsidRPr="00644D4E">
        <w:rPr>
          <w:rFonts w:ascii="Times New Roman" w:hAnsi="Times New Roman" w:cs="Times New Roman"/>
          <w:sz w:val="24"/>
          <w:szCs w:val="24"/>
          <w:lang w:val="ro-RO"/>
        </w:rPr>
        <w:t xml:space="preserve"> de șomer</w:t>
      </w:r>
      <w:r w:rsidR="007007F2" w:rsidRPr="00644D4E">
        <w:rPr>
          <w:rFonts w:ascii="Times New Roman" w:hAnsi="Times New Roman" w:cs="Times New Roman"/>
          <w:sz w:val="24"/>
          <w:szCs w:val="24"/>
          <w:lang w:val="ro-RO"/>
        </w:rPr>
        <w:t>i</w:t>
      </w:r>
      <w:r w:rsidRPr="00644D4E">
        <w:rPr>
          <w:rFonts w:ascii="Times New Roman" w:hAnsi="Times New Roman" w:cs="Times New Roman"/>
          <w:sz w:val="24"/>
          <w:szCs w:val="24"/>
          <w:lang w:val="ro-RO"/>
        </w:rPr>
        <w:t xml:space="preserve">, din care </w:t>
      </w:r>
      <w:r w:rsidRPr="00644D4E">
        <w:rPr>
          <w:rFonts w:ascii="Times New Roman" w:hAnsi="Times New Roman" w:cs="Times New Roman"/>
          <w:b/>
          <w:sz w:val="24"/>
          <w:szCs w:val="24"/>
          <w:lang w:val="ro-RO"/>
        </w:rPr>
        <w:t>4</w:t>
      </w:r>
      <w:r w:rsidR="001B3BF2" w:rsidRPr="00644D4E">
        <w:rPr>
          <w:rFonts w:ascii="Times New Roman" w:hAnsi="Times New Roman" w:cs="Times New Roman"/>
          <w:b/>
          <w:sz w:val="24"/>
          <w:szCs w:val="24"/>
          <w:lang w:val="ro-RO"/>
        </w:rPr>
        <w:t>5%</w:t>
      </w:r>
      <w:r w:rsidRPr="00644D4E">
        <w:rPr>
          <w:rFonts w:ascii="Times New Roman" w:hAnsi="Times New Roman" w:cs="Times New Roman"/>
          <w:sz w:val="24"/>
          <w:szCs w:val="24"/>
          <w:lang w:val="ro-RO"/>
        </w:rPr>
        <w:t xml:space="preserve"> sunt femei</w:t>
      </w:r>
      <w:r w:rsidR="001B3BF2" w:rsidRPr="00644D4E">
        <w:rPr>
          <w:rFonts w:ascii="Times New Roman" w:hAnsi="Times New Roman" w:cs="Times New Roman"/>
          <w:sz w:val="24"/>
          <w:szCs w:val="24"/>
          <w:lang w:val="ro-RO"/>
        </w:rPr>
        <w:t>.</w:t>
      </w:r>
      <w:r w:rsidR="0030738E" w:rsidRPr="00644D4E">
        <w:rPr>
          <w:rFonts w:ascii="Times New Roman" w:hAnsi="Times New Roman" w:cs="Times New Roman"/>
          <w:sz w:val="24"/>
          <w:szCs w:val="24"/>
          <w:lang w:val="ro-RO"/>
        </w:rPr>
        <w:t xml:space="preserve"> </w:t>
      </w:r>
      <w:r w:rsidR="001B3BF2" w:rsidRPr="00644D4E">
        <w:rPr>
          <w:rFonts w:ascii="Times New Roman" w:hAnsi="Times New Roman" w:cs="Times New Roman"/>
          <w:sz w:val="24"/>
          <w:szCs w:val="24"/>
          <w:lang w:val="ro-RO"/>
        </w:rPr>
        <w:t>Conform vârstei cei mai mulți (65%) au fost tineri</w:t>
      </w:r>
      <w:r w:rsidRPr="00644D4E">
        <w:rPr>
          <w:rFonts w:ascii="Times New Roman" w:hAnsi="Times New Roman" w:cs="Times New Roman"/>
          <w:sz w:val="24"/>
          <w:szCs w:val="24"/>
          <w:lang w:val="ro-RO"/>
        </w:rPr>
        <w:t xml:space="preserve"> cu vârsta cuprinsă între 16-34 ani. Urmare a absolvirii instruirii la locul de muncă </w:t>
      </w:r>
      <w:r w:rsidR="001B3BF2" w:rsidRPr="00644D4E">
        <w:rPr>
          <w:rFonts w:ascii="Times New Roman" w:hAnsi="Times New Roman" w:cs="Times New Roman"/>
          <w:b/>
          <w:sz w:val="24"/>
          <w:szCs w:val="24"/>
          <w:lang w:val="ro-RO"/>
        </w:rPr>
        <w:t>60</w:t>
      </w:r>
      <w:r w:rsidRPr="00644D4E">
        <w:rPr>
          <w:rFonts w:ascii="Times New Roman" w:hAnsi="Times New Roman" w:cs="Times New Roman"/>
          <w:sz w:val="24"/>
          <w:szCs w:val="24"/>
          <w:lang w:val="ro-RO"/>
        </w:rPr>
        <w:t xml:space="preserve"> </w:t>
      </w:r>
      <w:proofErr w:type="spellStart"/>
      <w:r w:rsidRPr="00644D4E">
        <w:rPr>
          <w:rFonts w:ascii="Times New Roman" w:hAnsi="Times New Roman" w:cs="Times New Roman"/>
          <w:sz w:val="24"/>
          <w:szCs w:val="24"/>
          <w:lang w:val="ro-RO"/>
        </w:rPr>
        <w:t>şomeri</w:t>
      </w:r>
      <w:proofErr w:type="spellEnd"/>
      <w:r w:rsidRPr="00644D4E">
        <w:rPr>
          <w:rFonts w:ascii="Times New Roman" w:hAnsi="Times New Roman" w:cs="Times New Roman"/>
          <w:sz w:val="24"/>
          <w:szCs w:val="24"/>
          <w:lang w:val="ro-RO"/>
        </w:rPr>
        <w:t xml:space="preserve"> au fost </w:t>
      </w:r>
      <w:proofErr w:type="spellStart"/>
      <w:r w:rsidRPr="00644D4E">
        <w:rPr>
          <w:rFonts w:ascii="Times New Roman" w:hAnsi="Times New Roman" w:cs="Times New Roman"/>
          <w:sz w:val="24"/>
          <w:szCs w:val="24"/>
          <w:lang w:val="ro-RO"/>
        </w:rPr>
        <w:t>plasaţi</w:t>
      </w:r>
      <w:proofErr w:type="spellEnd"/>
      <w:r w:rsidRPr="00644D4E">
        <w:rPr>
          <w:rFonts w:ascii="Times New Roman" w:hAnsi="Times New Roman" w:cs="Times New Roman"/>
          <w:sz w:val="24"/>
          <w:szCs w:val="24"/>
          <w:lang w:val="ro-RO"/>
        </w:rPr>
        <w:t xml:space="preserve"> în câmpul muncii (</w:t>
      </w:r>
      <w:r w:rsidR="001B3BF2" w:rsidRPr="00644D4E">
        <w:rPr>
          <w:rFonts w:ascii="Times New Roman" w:hAnsi="Times New Roman" w:cs="Times New Roman"/>
          <w:sz w:val="24"/>
          <w:szCs w:val="24"/>
          <w:lang w:val="ro-RO"/>
        </w:rPr>
        <w:t>50</w:t>
      </w:r>
      <w:r w:rsidRPr="00644D4E">
        <w:rPr>
          <w:rFonts w:ascii="Times New Roman" w:hAnsi="Times New Roman" w:cs="Times New Roman"/>
          <w:sz w:val="24"/>
          <w:szCs w:val="24"/>
          <w:lang w:val="ro-RO"/>
        </w:rPr>
        <w:t xml:space="preserve">%). </w:t>
      </w:r>
    </w:p>
    <w:p w14:paraId="2CCBF26C" w14:textId="0F2388BA" w:rsidR="00FB75D0" w:rsidRPr="00644D4E" w:rsidRDefault="00874ED7" w:rsidP="006C49E8">
      <w:pPr>
        <w:spacing w:after="120" w:line="240" w:lineRule="auto"/>
        <w:ind w:right="-112"/>
        <w:contextualSpacing/>
        <w:jc w:val="both"/>
        <w:rPr>
          <w:rStyle w:val="Strong"/>
          <w:rFonts w:ascii="Times New Roman" w:hAnsi="Times New Roman" w:cs="Times New Roman"/>
          <w:b w:val="0"/>
          <w:sz w:val="24"/>
          <w:szCs w:val="24"/>
          <w:lang w:val="ro-RO"/>
        </w:rPr>
      </w:pPr>
      <w:r w:rsidRPr="00644D4E">
        <w:rPr>
          <w:rFonts w:ascii="Times New Roman" w:hAnsi="Times New Roman" w:cs="Times New Roman"/>
          <w:b/>
          <w:i/>
          <w:iCs/>
          <w:sz w:val="24"/>
          <w:szCs w:val="24"/>
          <w:lang w:val="ro-RO"/>
        </w:rPr>
        <w:t>S</w:t>
      </w:r>
      <w:r w:rsidR="00C50972" w:rsidRPr="00644D4E">
        <w:rPr>
          <w:rFonts w:ascii="Times New Roman" w:hAnsi="Times New Roman" w:cs="Times New Roman"/>
          <w:b/>
          <w:i/>
          <w:iCs/>
          <w:sz w:val="24"/>
          <w:szCs w:val="24"/>
          <w:lang w:val="ro-RO"/>
        </w:rPr>
        <w:t>tagii profesionale</w:t>
      </w:r>
      <w:r w:rsidR="00C50972" w:rsidRPr="00644D4E">
        <w:rPr>
          <w:rFonts w:ascii="Times New Roman" w:hAnsi="Times New Roman" w:cs="Times New Roman"/>
          <w:i/>
          <w:iCs/>
          <w:sz w:val="24"/>
          <w:szCs w:val="24"/>
          <w:lang w:val="ro-RO"/>
        </w:rPr>
        <w:t xml:space="preserve">. </w:t>
      </w:r>
      <w:r w:rsidR="00B02B97" w:rsidRPr="00644D4E">
        <w:rPr>
          <w:rFonts w:ascii="Times New Roman" w:hAnsi="Times New Roman" w:cs="Times New Roman"/>
          <w:sz w:val="24"/>
          <w:szCs w:val="24"/>
          <w:lang w:val="ro-RO"/>
        </w:rPr>
        <w:t>Pe parcursul anului 202</w:t>
      </w:r>
      <w:r w:rsidR="00F91108" w:rsidRPr="00644D4E">
        <w:rPr>
          <w:rFonts w:ascii="Times New Roman" w:hAnsi="Times New Roman" w:cs="Times New Roman"/>
          <w:sz w:val="24"/>
          <w:szCs w:val="24"/>
          <w:lang w:val="ro-RO"/>
        </w:rPr>
        <w:t>3</w:t>
      </w:r>
      <w:r w:rsidR="00B02B97" w:rsidRPr="00644D4E">
        <w:rPr>
          <w:rFonts w:ascii="Times New Roman" w:hAnsi="Times New Roman" w:cs="Times New Roman"/>
          <w:sz w:val="24"/>
          <w:szCs w:val="24"/>
          <w:lang w:val="ro-RO"/>
        </w:rPr>
        <w:t xml:space="preserve"> au finalizat stagiul profesional și au obținut Confirmarea privind antrenarea în stagiu profesional și competențele practice dobândite </w:t>
      </w:r>
      <w:r w:rsidR="00F91108" w:rsidRPr="00644D4E">
        <w:rPr>
          <w:rFonts w:ascii="Times New Roman" w:hAnsi="Times New Roman" w:cs="Times New Roman"/>
          <w:b/>
          <w:sz w:val="24"/>
          <w:szCs w:val="24"/>
          <w:lang w:val="ro-RO"/>
        </w:rPr>
        <w:t>196</w:t>
      </w:r>
      <w:r w:rsidR="00B02B97" w:rsidRPr="00644D4E">
        <w:rPr>
          <w:rFonts w:ascii="Times New Roman" w:hAnsi="Times New Roman" w:cs="Times New Roman"/>
          <w:sz w:val="24"/>
          <w:szCs w:val="24"/>
          <w:lang w:val="ro-RO"/>
        </w:rPr>
        <w:t xml:space="preserve"> șomeri, dintre care </w:t>
      </w:r>
      <w:r w:rsidR="00F91108" w:rsidRPr="00644D4E">
        <w:rPr>
          <w:rFonts w:ascii="Times New Roman" w:hAnsi="Times New Roman" w:cs="Times New Roman"/>
          <w:b/>
          <w:sz w:val="24"/>
          <w:szCs w:val="24"/>
          <w:lang w:val="ro-RO"/>
        </w:rPr>
        <w:t xml:space="preserve">34 </w:t>
      </w:r>
      <w:r w:rsidR="00F91108" w:rsidRPr="00644D4E">
        <w:rPr>
          <w:rFonts w:ascii="Times New Roman" w:hAnsi="Times New Roman" w:cs="Times New Roman"/>
          <w:sz w:val="24"/>
          <w:szCs w:val="24"/>
          <w:lang w:val="ro-RO"/>
        </w:rPr>
        <w:t>ș</w:t>
      </w:r>
      <w:r w:rsidR="00B02B97" w:rsidRPr="00644D4E">
        <w:rPr>
          <w:rFonts w:ascii="Times New Roman" w:hAnsi="Times New Roman" w:cs="Times New Roman"/>
          <w:sz w:val="24"/>
          <w:szCs w:val="24"/>
          <w:lang w:val="ro-RO"/>
        </w:rPr>
        <w:t>omeri cu care au fost încheiate contracte de stagiu profesional în anul 202</w:t>
      </w:r>
      <w:r w:rsidR="00F91108" w:rsidRPr="00644D4E">
        <w:rPr>
          <w:rFonts w:ascii="Times New Roman" w:hAnsi="Times New Roman" w:cs="Times New Roman"/>
          <w:sz w:val="24"/>
          <w:szCs w:val="24"/>
          <w:lang w:val="ro-RO"/>
        </w:rPr>
        <w:t>2</w:t>
      </w:r>
      <w:r w:rsidR="00B02B97" w:rsidRPr="00644D4E">
        <w:rPr>
          <w:rFonts w:ascii="Times New Roman" w:hAnsi="Times New Roman" w:cs="Times New Roman"/>
          <w:sz w:val="24"/>
          <w:szCs w:val="24"/>
          <w:lang w:val="ro-RO"/>
        </w:rPr>
        <w:t>. Numărul șomerilor cu care au fost încheiate contracte de stagii profesionale în perioada anului 202</w:t>
      </w:r>
      <w:r w:rsidR="00F91108" w:rsidRPr="00644D4E">
        <w:rPr>
          <w:rFonts w:ascii="Times New Roman" w:hAnsi="Times New Roman" w:cs="Times New Roman"/>
          <w:sz w:val="24"/>
          <w:szCs w:val="24"/>
          <w:lang w:val="ro-RO"/>
        </w:rPr>
        <w:t>3</w:t>
      </w:r>
      <w:r w:rsidR="00B02B97" w:rsidRPr="00644D4E">
        <w:rPr>
          <w:rFonts w:ascii="Times New Roman" w:hAnsi="Times New Roman" w:cs="Times New Roman"/>
          <w:sz w:val="24"/>
          <w:szCs w:val="24"/>
          <w:lang w:val="ro-RO"/>
        </w:rPr>
        <w:t xml:space="preserve"> este de </w:t>
      </w:r>
      <w:r w:rsidR="00F91108" w:rsidRPr="00644D4E">
        <w:rPr>
          <w:rFonts w:ascii="Times New Roman" w:hAnsi="Times New Roman" w:cs="Times New Roman"/>
          <w:b/>
          <w:sz w:val="24"/>
          <w:szCs w:val="24"/>
          <w:lang w:val="ro-RO"/>
        </w:rPr>
        <w:t>183</w:t>
      </w:r>
      <w:r w:rsidR="00B02B97" w:rsidRPr="00644D4E">
        <w:rPr>
          <w:rFonts w:ascii="Times New Roman" w:hAnsi="Times New Roman" w:cs="Times New Roman"/>
          <w:sz w:val="24"/>
          <w:szCs w:val="24"/>
          <w:lang w:val="ro-RO"/>
        </w:rPr>
        <w:t xml:space="preserve"> persoane, dintre care </w:t>
      </w:r>
      <w:r w:rsidR="00F91108" w:rsidRPr="00644D4E">
        <w:rPr>
          <w:rFonts w:ascii="Times New Roman" w:hAnsi="Times New Roman" w:cs="Times New Roman"/>
          <w:b/>
          <w:sz w:val="24"/>
          <w:szCs w:val="24"/>
          <w:lang w:val="ro-RO"/>
        </w:rPr>
        <w:t>7</w:t>
      </w:r>
      <w:r w:rsidR="00B02B97" w:rsidRPr="00644D4E">
        <w:rPr>
          <w:rFonts w:ascii="Times New Roman" w:hAnsi="Times New Roman" w:cs="Times New Roman"/>
          <w:sz w:val="24"/>
          <w:szCs w:val="24"/>
          <w:lang w:val="ro-RO"/>
        </w:rPr>
        <w:t xml:space="preserve"> șomeri continuă să urmeze programul de stagiu profesional și pe parcursul anului 202</w:t>
      </w:r>
      <w:r w:rsidR="00F91108" w:rsidRPr="00644D4E">
        <w:rPr>
          <w:rFonts w:ascii="Times New Roman" w:hAnsi="Times New Roman" w:cs="Times New Roman"/>
          <w:sz w:val="24"/>
          <w:szCs w:val="24"/>
          <w:lang w:val="ro-RO"/>
        </w:rPr>
        <w:t>4</w:t>
      </w:r>
      <w:r w:rsidR="00B02B97" w:rsidRPr="00644D4E">
        <w:rPr>
          <w:rFonts w:ascii="Times New Roman" w:hAnsi="Times New Roman" w:cs="Times New Roman"/>
          <w:sz w:val="24"/>
          <w:szCs w:val="24"/>
          <w:lang w:val="ro-RO"/>
        </w:rPr>
        <w:t xml:space="preserve">. Din totalul șomerilor care au finalizat stagiul profesional, </w:t>
      </w:r>
      <w:r w:rsidR="00F91108" w:rsidRPr="00644D4E">
        <w:rPr>
          <w:rFonts w:ascii="Times New Roman" w:hAnsi="Times New Roman" w:cs="Times New Roman"/>
          <w:b/>
          <w:sz w:val="24"/>
          <w:szCs w:val="24"/>
          <w:lang w:val="ro-RO"/>
        </w:rPr>
        <w:t>75</w:t>
      </w:r>
      <w:r w:rsidR="00B02B97" w:rsidRPr="00644D4E">
        <w:rPr>
          <w:rFonts w:ascii="Times New Roman" w:hAnsi="Times New Roman" w:cs="Times New Roman"/>
          <w:b/>
          <w:sz w:val="24"/>
          <w:szCs w:val="24"/>
          <w:lang w:val="ro-RO"/>
        </w:rPr>
        <w:t>%</w:t>
      </w:r>
      <w:r w:rsidR="00B02B97" w:rsidRPr="00644D4E">
        <w:rPr>
          <w:rFonts w:ascii="Times New Roman" w:hAnsi="Times New Roman" w:cs="Times New Roman"/>
          <w:sz w:val="24"/>
          <w:szCs w:val="24"/>
          <w:lang w:val="ro-RO"/>
        </w:rPr>
        <w:t xml:space="preserve"> </w:t>
      </w:r>
      <w:r w:rsidR="00BD6FA5" w:rsidRPr="00644D4E">
        <w:rPr>
          <w:rFonts w:ascii="Times New Roman" w:hAnsi="Times New Roman" w:cs="Times New Roman"/>
          <w:sz w:val="24"/>
          <w:szCs w:val="24"/>
          <w:lang w:val="ro-RO"/>
        </w:rPr>
        <w:t>au constituit femeile</w:t>
      </w:r>
      <w:r w:rsidR="00B02B97" w:rsidRPr="00644D4E">
        <w:rPr>
          <w:rFonts w:ascii="Times New Roman" w:hAnsi="Times New Roman" w:cs="Times New Roman"/>
          <w:sz w:val="24"/>
          <w:szCs w:val="24"/>
          <w:lang w:val="ro-RO"/>
        </w:rPr>
        <w:t xml:space="preserve">, iar </w:t>
      </w:r>
      <w:r w:rsidR="00B02B97" w:rsidRPr="00644D4E">
        <w:rPr>
          <w:rFonts w:ascii="Times New Roman" w:hAnsi="Times New Roman" w:cs="Times New Roman"/>
          <w:b/>
          <w:sz w:val="24"/>
          <w:szCs w:val="24"/>
          <w:lang w:val="ro-RO"/>
        </w:rPr>
        <w:t>2</w:t>
      </w:r>
      <w:r w:rsidR="00F91108" w:rsidRPr="00644D4E">
        <w:rPr>
          <w:rFonts w:ascii="Times New Roman" w:hAnsi="Times New Roman" w:cs="Times New Roman"/>
          <w:b/>
          <w:sz w:val="24"/>
          <w:szCs w:val="24"/>
          <w:lang w:val="ro-RO"/>
        </w:rPr>
        <w:t>5</w:t>
      </w:r>
      <w:r w:rsidR="00B02B97" w:rsidRPr="00644D4E">
        <w:rPr>
          <w:rFonts w:ascii="Times New Roman" w:hAnsi="Times New Roman" w:cs="Times New Roman"/>
          <w:b/>
          <w:sz w:val="24"/>
          <w:szCs w:val="24"/>
          <w:lang w:val="ro-RO"/>
        </w:rPr>
        <w:t>%</w:t>
      </w:r>
      <w:r w:rsidR="00B02B97" w:rsidRPr="00644D4E">
        <w:rPr>
          <w:rFonts w:ascii="Times New Roman" w:hAnsi="Times New Roman" w:cs="Times New Roman"/>
          <w:sz w:val="24"/>
          <w:szCs w:val="24"/>
          <w:lang w:val="ro-RO"/>
        </w:rPr>
        <w:t xml:space="preserve"> bărbați</w:t>
      </w:r>
      <w:r w:rsidR="00BD6FA5" w:rsidRPr="00644D4E">
        <w:rPr>
          <w:rFonts w:ascii="Times New Roman" w:hAnsi="Times New Roman" w:cs="Times New Roman"/>
          <w:sz w:val="24"/>
          <w:szCs w:val="24"/>
          <w:lang w:val="ro-RO"/>
        </w:rPr>
        <w:t>i</w:t>
      </w:r>
      <w:r w:rsidR="00B02B97" w:rsidRPr="00644D4E">
        <w:rPr>
          <w:rFonts w:ascii="Times New Roman" w:hAnsi="Times New Roman" w:cs="Times New Roman"/>
          <w:sz w:val="24"/>
          <w:szCs w:val="24"/>
          <w:lang w:val="ro-RO"/>
        </w:rPr>
        <w:t xml:space="preserve">. Conform vârstei, cei mai mulți beneficiari ai măsurii de stagiu profesional </w:t>
      </w:r>
      <w:r w:rsidR="00BD6FA5" w:rsidRPr="00644D4E">
        <w:rPr>
          <w:rFonts w:ascii="Times New Roman" w:hAnsi="Times New Roman" w:cs="Times New Roman"/>
          <w:sz w:val="24"/>
          <w:szCs w:val="24"/>
          <w:lang w:val="ro-RO"/>
        </w:rPr>
        <w:t>erau</w:t>
      </w:r>
      <w:r w:rsidR="00B02B97" w:rsidRPr="00644D4E">
        <w:rPr>
          <w:rFonts w:ascii="Times New Roman" w:hAnsi="Times New Roman" w:cs="Times New Roman"/>
          <w:sz w:val="24"/>
          <w:szCs w:val="24"/>
          <w:lang w:val="ro-RO"/>
        </w:rPr>
        <w:t xml:space="preserve"> tineri cu vârsta cuprinsă între 16-34 ani (61</w:t>
      </w:r>
      <w:r w:rsidR="00BD6FA5" w:rsidRPr="00644D4E">
        <w:rPr>
          <w:rFonts w:ascii="Times New Roman" w:hAnsi="Times New Roman" w:cs="Times New Roman"/>
          <w:sz w:val="24"/>
          <w:szCs w:val="24"/>
          <w:lang w:val="ro-RO"/>
        </w:rPr>
        <w:t xml:space="preserve">%) și </w:t>
      </w:r>
      <w:r w:rsidR="00F91108" w:rsidRPr="00644D4E">
        <w:rPr>
          <w:rFonts w:ascii="Times New Roman" w:hAnsi="Times New Roman" w:cs="Times New Roman"/>
          <w:sz w:val="24"/>
          <w:szCs w:val="24"/>
          <w:lang w:val="ro-RO"/>
        </w:rPr>
        <w:t>7</w:t>
      </w:r>
      <w:r w:rsidR="00BD6FA5" w:rsidRPr="00644D4E">
        <w:rPr>
          <w:rFonts w:ascii="Times New Roman" w:hAnsi="Times New Roman" w:cs="Times New Roman"/>
          <w:sz w:val="24"/>
          <w:szCs w:val="24"/>
          <w:lang w:val="ro-RO"/>
        </w:rPr>
        <w:t xml:space="preserve">% </w:t>
      </w:r>
      <w:r w:rsidR="00B02B97" w:rsidRPr="00644D4E">
        <w:rPr>
          <w:rFonts w:ascii="Times New Roman" w:hAnsi="Times New Roman" w:cs="Times New Roman"/>
          <w:sz w:val="24"/>
          <w:szCs w:val="24"/>
          <w:lang w:val="ro-RO"/>
        </w:rPr>
        <w:t>persoane cu vârsta de peste 50 ani</w:t>
      </w:r>
      <w:r w:rsidR="00BD6FA5" w:rsidRPr="00644D4E">
        <w:rPr>
          <w:rFonts w:ascii="Times New Roman" w:hAnsi="Times New Roman" w:cs="Times New Roman"/>
          <w:sz w:val="24"/>
          <w:szCs w:val="24"/>
          <w:lang w:val="ro-RO"/>
        </w:rPr>
        <w:t>.</w:t>
      </w:r>
      <w:r w:rsidR="00B02B97" w:rsidRPr="00644D4E">
        <w:rPr>
          <w:rFonts w:ascii="Times New Roman" w:hAnsi="Times New Roman" w:cs="Times New Roman"/>
          <w:sz w:val="24"/>
          <w:szCs w:val="24"/>
          <w:lang w:val="ro-RO"/>
        </w:rPr>
        <w:t xml:space="preserve"> După nivelul de studii</w:t>
      </w:r>
      <w:r w:rsidR="00BD6FA5" w:rsidRPr="00644D4E">
        <w:rPr>
          <w:rFonts w:ascii="Times New Roman" w:hAnsi="Times New Roman" w:cs="Times New Roman"/>
          <w:sz w:val="24"/>
          <w:szCs w:val="24"/>
          <w:lang w:val="ro-RO"/>
        </w:rPr>
        <w:t>,</w:t>
      </w:r>
      <w:r w:rsidR="00B02B97" w:rsidRPr="00644D4E">
        <w:rPr>
          <w:rFonts w:ascii="Times New Roman" w:hAnsi="Times New Roman" w:cs="Times New Roman"/>
          <w:sz w:val="24"/>
          <w:szCs w:val="24"/>
          <w:lang w:val="ro-RO"/>
        </w:rPr>
        <w:t xml:space="preserve"> cei mai mulți beneficiari la momentul înregistrării cu statut de șomer </w:t>
      </w:r>
      <w:r w:rsidR="00BD6FA5" w:rsidRPr="00644D4E">
        <w:rPr>
          <w:rFonts w:ascii="Times New Roman" w:hAnsi="Times New Roman" w:cs="Times New Roman"/>
          <w:sz w:val="24"/>
          <w:szCs w:val="24"/>
          <w:lang w:val="ro-RO"/>
        </w:rPr>
        <w:t>aveau</w:t>
      </w:r>
      <w:r w:rsidR="00B02B97" w:rsidRPr="00644D4E">
        <w:rPr>
          <w:rFonts w:ascii="Times New Roman" w:hAnsi="Times New Roman" w:cs="Times New Roman"/>
          <w:sz w:val="24"/>
          <w:szCs w:val="24"/>
          <w:lang w:val="ro-RO"/>
        </w:rPr>
        <w:t xml:space="preserve"> </w:t>
      </w:r>
      <w:r w:rsidR="00F91108" w:rsidRPr="00644D4E">
        <w:rPr>
          <w:rFonts w:ascii="Times New Roman" w:hAnsi="Times New Roman" w:cs="Times New Roman"/>
          <w:sz w:val="24"/>
          <w:szCs w:val="24"/>
          <w:lang w:val="ro-RO"/>
        </w:rPr>
        <w:t>studii secundar</w:t>
      </w:r>
      <w:r w:rsidR="00863753" w:rsidRPr="00644D4E">
        <w:rPr>
          <w:rFonts w:ascii="Times New Roman" w:hAnsi="Times New Roman" w:cs="Times New Roman"/>
          <w:sz w:val="24"/>
          <w:szCs w:val="24"/>
          <w:lang w:val="ro-RO"/>
        </w:rPr>
        <w:t>-</w:t>
      </w:r>
      <w:r w:rsidR="00F91108" w:rsidRPr="00644D4E">
        <w:rPr>
          <w:rFonts w:ascii="Times New Roman" w:hAnsi="Times New Roman" w:cs="Times New Roman"/>
          <w:sz w:val="24"/>
          <w:szCs w:val="24"/>
          <w:lang w:val="ro-RO"/>
        </w:rPr>
        <w:t>profesionale (</w:t>
      </w:r>
      <w:r w:rsidR="00F91108" w:rsidRPr="00644D4E">
        <w:rPr>
          <w:rFonts w:ascii="Times New Roman" w:hAnsi="Times New Roman" w:cs="Times New Roman"/>
          <w:b/>
          <w:sz w:val="24"/>
          <w:szCs w:val="24"/>
          <w:lang w:val="ro-RO"/>
        </w:rPr>
        <w:t>42%</w:t>
      </w:r>
      <w:r w:rsidR="00F91108" w:rsidRPr="00644D4E">
        <w:rPr>
          <w:rFonts w:ascii="Times New Roman" w:hAnsi="Times New Roman" w:cs="Times New Roman"/>
          <w:sz w:val="24"/>
          <w:szCs w:val="24"/>
          <w:lang w:val="ro-RO"/>
        </w:rPr>
        <w:t>),</w:t>
      </w:r>
      <w:r w:rsidR="00BF6C06" w:rsidRPr="00644D4E">
        <w:rPr>
          <w:rFonts w:ascii="Times New Roman" w:hAnsi="Times New Roman" w:cs="Times New Roman"/>
          <w:sz w:val="24"/>
          <w:szCs w:val="24"/>
          <w:lang w:val="ro-RO"/>
        </w:rPr>
        <w:t xml:space="preserve"> urmați de cei cu</w:t>
      </w:r>
      <w:r w:rsidR="00F91108" w:rsidRPr="00644D4E">
        <w:rPr>
          <w:rFonts w:ascii="Times New Roman" w:hAnsi="Times New Roman" w:cs="Times New Roman"/>
          <w:sz w:val="24"/>
          <w:szCs w:val="24"/>
          <w:lang w:val="ro-RO"/>
        </w:rPr>
        <w:t xml:space="preserve"> </w:t>
      </w:r>
      <w:r w:rsidR="00B02B97" w:rsidRPr="00644D4E">
        <w:rPr>
          <w:rFonts w:ascii="Times New Roman" w:hAnsi="Times New Roman" w:cs="Times New Roman"/>
          <w:sz w:val="24"/>
          <w:szCs w:val="24"/>
          <w:lang w:val="ro-RO"/>
        </w:rPr>
        <w:t xml:space="preserve">studii </w:t>
      </w:r>
      <w:r w:rsidR="00F91108" w:rsidRPr="00644D4E">
        <w:rPr>
          <w:rFonts w:ascii="Times New Roman" w:hAnsi="Times New Roman" w:cs="Times New Roman"/>
          <w:sz w:val="24"/>
          <w:szCs w:val="24"/>
          <w:lang w:val="ro-RO"/>
        </w:rPr>
        <w:t>primare/</w:t>
      </w:r>
      <w:r w:rsidR="00B02B97" w:rsidRPr="00644D4E">
        <w:rPr>
          <w:rFonts w:ascii="Times New Roman" w:hAnsi="Times New Roman" w:cs="Times New Roman"/>
          <w:sz w:val="24"/>
          <w:szCs w:val="24"/>
          <w:lang w:val="ro-RO"/>
        </w:rPr>
        <w:t>gimnaziale (</w:t>
      </w:r>
      <w:r w:rsidR="00F91108" w:rsidRPr="00644D4E">
        <w:rPr>
          <w:rFonts w:ascii="Times New Roman" w:hAnsi="Times New Roman" w:cs="Times New Roman"/>
          <w:b/>
          <w:sz w:val="24"/>
          <w:szCs w:val="24"/>
          <w:lang w:val="ro-RO"/>
        </w:rPr>
        <w:t>20</w:t>
      </w:r>
      <w:r w:rsidR="00B02B97" w:rsidRPr="00644D4E">
        <w:rPr>
          <w:rFonts w:ascii="Times New Roman" w:hAnsi="Times New Roman" w:cs="Times New Roman"/>
          <w:b/>
          <w:sz w:val="24"/>
          <w:szCs w:val="24"/>
          <w:lang w:val="ro-RO"/>
        </w:rPr>
        <w:t>%</w:t>
      </w:r>
      <w:r w:rsidR="00BD6FA5" w:rsidRPr="00644D4E">
        <w:rPr>
          <w:rFonts w:ascii="Times New Roman" w:hAnsi="Times New Roman" w:cs="Times New Roman"/>
          <w:sz w:val="24"/>
          <w:szCs w:val="24"/>
          <w:lang w:val="ro-RO"/>
        </w:rPr>
        <w:t>)</w:t>
      </w:r>
      <w:r w:rsidR="00B02B97" w:rsidRPr="00644D4E">
        <w:rPr>
          <w:rFonts w:ascii="Times New Roman" w:hAnsi="Times New Roman" w:cs="Times New Roman"/>
          <w:sz w:val="24"/>
          <w:szCs w:val="24"/>
          <w:lang w:val="ro-RO"/>
        </w:rPr>
        <w:t xml:space="preserve">, </w:t>
      </w:r>
      <w:r w:rsidR="00F91108" w:rsidRPr="00644D4E">
        <w:rPr>
          <w:rFonts w:ascii="Times New Roman" w:hAnsi="Times New Roman" w:cs="Times New Roman"/>
          <w:sz w:val="24"/>
          <w:szCs w:val="24"/>
          <w:lang w:val="ro-RO"/>
        </w:rPr>
        <w:t>studii superioare (</w:t>
      </w:r>
      <w:r w:rsidR="00F91108" w:rsidRPr="00644D4E">
        <w:rPr>
          <w:rFonts w:ascii="Times New Roman" w:hAnsi="Times New Roman" w:cs="Times New Roman"/>
          <w:b/>
          <w:sz w:val="24"/>
          <w:szCs w:val="24"/>
          <w:lang w:val="ro-RO"/>
        </w:rPr>
        <w:t>17%</w:t>
      </w:r>
      <w:r w:rsidR="00F91108" w:rsidRPr="00644D4E">
        <w:rPr>
          <w:rFonts w:ascii="Times New Roman" w:hAnsi="Times New Roman" w:cs="Times New Roman"/>
          <w:sz w:val="24"/>
          <w:szCs w:val="24"/>
          <w:lang w:val="ro-RO"/>
        </w:rPr>
        <w:t xml:space="preserve">), </w:t>
      </w:r>
      <w:r w:rsidR="00B02B97" w:rsidRPr="00644D4E">
        <w:rPr>
          <w:rFonts w:ascii="Times New Roman" w:hAnsi="Times New Roman" w:cs="Times New Roman"/>
          <w:sz w:val="24"/>
          <w:szCs w:val="24"/>
          <w:lang w:val="ro-RO"/>
        </w:rPr>
        <w:t>studii colegiale</w:t>
      </w:r>
      <w:r w:rsidR="00BF6C06" w:rsidRPr="00644D4E">
        <w:rPr>
          <w:rFonts w:ascii="Times New Roman" w:hAnsi="Times New Roman" w:cs="Times New Roman"/>
          <w:sz w:val="24"/>
          <w:szCs w:val="24"/>
          <w:lang w:val="ro-RO"/>
        </w:rPr>
        <w:t xml:space="preserve"> (</w:t>
      </w:r>
      <w:r w:rsidR="00BF6C06" w:rsidRPr="00644D4E">
        <w:rPr>
          <w:rFonts w:ascii="Times New Roman" w:hAnsi="Times New Roman" w:cs="Times New Roman"/>
          <w:b/>
          <w:sz w:val="24"/>
          <w:szCs w:val="24"/>
          <w:lang w:val="ro-RO"/>
        </w:rPr>
        <w:t>11%)</w:t>
      </w:r>
      <w:r w:rsidR="00BF6C06" w:rsidRPr="00644D4E">
        <w:rPr>
          <w:rFonts w:ascii="Times New Roman" w:hAnsi="Times New Roman" w:cs="Times New Roman"/>
          <w:sz w:val="24"/>
          <w:szCs w:val="24"/>
          <w:lang w:val="ro-RO"/>
        </w:rPr>
        <w:t xml:space="preserve"> și</w:t>
      </w:r>
      <w:r w:rsidR="00B02B97" w:rsidRPr="00644D4E">
        <w:rPr>
          <w:rFonts w:ascii="Times New Roman" w:hAnsi="Times New Roman" w:cs="Times New Roman"/>
          <w:sz w:val="24"/>
          <w:szCs w:val="24"/>
          <w:lang w:val="ro-RO"/>
        </w:rPr>
        <w:t xml:space="preserve"> studii liceale</w:t>
      </w:r>
      <w:r w:rsidR="00BF6C06" w:rsidRPr="00644D4E">
        <w:rPr>
          <w:rFonts w:ascii="Times New Roman" w:hAnsi="Times New Roman" w:cs="Times New Roman"/>
          <w:sz w:val="24"/>
          <w:szCs w:val="24"/>
          <w:lang w:val="ro-RO"/>
        </w:rPr>
        <w:t xml:space="preserve"> cu </w:t>
      </w:r>
      <w:r w:rsidR="00BF6C06" w:rsidRPr="00644D4E">
        <w:rPr>
          <w:rFonts w:ascii="Times New Roman" w:hAnsi="Times New Roman" w:cs="Times New Roman"/>
          <w:b/>
          <w:sz w:val="24"/>
          <w:szCs w:val="24"/>
          <w:lang w:val="ro-RO"/>
        </w:rPr>
        <w:t>10%</w:t>
      </w:r>
      <w:r w:rsidR="00B02B97" w:rsidRPr="00644D4E">
        <w:rPr>
          <w:rFonts w:ascii="Times New Roman" w:hAnsi="Times New Roman" w:cs="Times New Roman"/>
          <w:sz w:val="24"/>
          <w:szCs w:val="24"/>
          <w:lang w:val="ro-RO"/>
        </w:rPr>
        <w:t xml:space="preserve">. Șomerii cu studii gimnaziale, liceale dețineau cursuri de formare profesională, iar antrenarea în măsura de stagiu profesional a avut loc în profesia/meseria deținută în rezultatul absolvirii cursurilor. </w:t>
      </w:r>
      <w:r w:rsidR="00863753" w:rsidRPr="00644D4E">
        <w:rPr>
          <w:rFonts w:ascii="Times New Roman" w:hAnsi="Times New Roman" w:cs="Times New Roman"/>
          <w:sz w:val="24"/>
          <w:szCs w:val="24"/>
          <w:lang w:val="ro-RO"/>
        </w:rPr>
        <w:t>Ca rezultat al finalizării stagiului profesional au fost plasați în câmpul muncii 81 persoane sau 41% din total beneficiar</w:t>
      </w:r>
      <w:r w:rsidR="00EE547C" w:rsidRPr="00644D4E">
        <w:rPr>
          <w:rFonts w:ascii="Times New Roman" w:hAnsi="Times New Roman" w:cs="Times New Roman"/>
          <w:sz w:val="24"/>
          <w:szCs w:val="24"/>
          <w:lang w:val="ro-RO"/>
        </w:rPr>
        <w:t xml:space="preserve">ilor </w:t>
      </w:r>
      <w:r w:rsidR="00863753" w:rsidRPr="00644D4E">
        <w:rPr>
          <w:rFonts w:ascii="Times New Roman" w:hAnsi="Times New Roman" w:cs="Times New Roman"/>
          <w:sz w:val="24"/>
          <w:szCs w:val="24"/>
          <w:lang w:val="ro-RO"/>
        </w:rPr>
        <w:t xml:space="preserve">ai stagiilor profesionale. </w:t>
      </w:r>
    </w:p>
    <w:p w14:paraId="52A728BA" w14:textId="77777777" w:rsidR="00EE547C" w:rsidRPr="00644D4E" w:rsidRDefault="00C50972" w:rsidP="006C49E8">
      <w:pPr>
        <w:pStyle w:val="NoSpacing"/>
        <w:spacing w:after="120"/>
        <w:ind w:right="-112"/>
        <w:jc w:val="both"/>
        <w:rPr>
          <w:rFonts w:ascii="Times New Roman" w:hAnsi="Times New Roman" w:cs="Times New Roman"/>
          <w:sz w:val="24"/>
          <w:szCs w:val="24"/>
          <w:lang w:val="ro-RO"/>
        </w:rPr>
      </w:pPr>
      <w:r w:rsidRPr="00644D4E">
        <w:rPr>
          <w:rFonts w:ascii="Times New Roman" w:hAnsi="Times New Roman" w:cs="Times New Roman"/>
          <w:b/>
          <w:sz w:val="24"/>
          <w:szCs w:val="24"/>
          <w:lang w:val="ro-RO"/>
        </w:rPr>
        <w:t>Su</w:t>
      </w:r>
      <w:r w:rsidR="002A36AE" w:rsidRPr="00644D4E">
        <w:rPr>
          <w:rFonts w:ascii="Times New Roman" w:hAnsi="Times New Roman" w:cs="Times New Roman"/>
          <w:b/>
          <w:sz w:val="24"/>
          <w:szCs w:val="24"/>
          <w:lang w:val="ro-RO"/>
        </w:rPr>
        <w:t>bvenționarea locurilor de muncă.</w:t>
      </w:r>
      <w:r w:rsidRPr="00644D4E">
        <w:rPr>
          <w:rFonts w:ascii="Times New Roman" w:hAnsi="Times New Roman" w:cs="Times New Roman"/>
          <w:sz w:val="24"/>
          <w:szCs w:val="24"/>
          <w:lang w:val="ro-RO"/>
        </w:rPr>
        <w:t xml:space="preserve"> </w:t>
      </w:r>
      <w:r w:rsidR="002A36AE" w:rsidRPr="00644D4E">
        <w:rPr>
          <w:rFonts w:ascii="Times New Roman" w:hAnsi="Times New Roman" w:cs="Times New Roman"/>
          <w:sz w:val="24"/>
          <w:szCs w:val="24"/>
          <w:lang w:val="ro-RO"/>
        </w:rPr>
        <w:t>Măsura de subvenționare a locurilor de muncă are ca scop creșterea șanselor de ocupare a șomerilor care necesită suport suplimentar pe piața muncii. Pe parcursul anului 202</w:t>
      </w:r>
      <w:r w:rsidR="00D202AE" w:rsidRPr="00644D4E">
        <w:rPr>
          <w:rFonts w:ascii="Times New Roman" w:hAnsi="Times New Roman" w:cs="Times New Roman"/>
          <w:sz w:val="24"/>
          <w:szCs w:val="24"/>
          <w:lang w:val="ro-RO"/>
        </w:rPr>
        <w:t>3</w:t>
      </w:r>
      <w:r w:rsidR="002A36AE" w:rsidRPr="00644D4E">
        <w:rPr>
          <w:rFonts w:ascii="Times New Roman" w:hAnsi="Times New Roman" w:cs="Times New Roman"/>
          <w:sz w:val="24"/>
          <w:szCs w:val="24"/>
          <w:lang w:val="ro-RO"/>
        </w:rPr>
        <w:t xml:space="preserve"> la </w:t>
      </w:r>
      <w:r w:rsidR="00EE547C" w:rsidRPr="00644D4E">
        <w:rPr>
          <w:rFonts w:ascii="Times New Roman" w:hAnsi="Times New Roman" w:cs="Times New Roman"/>
          <w:sz w:val="24"/>
          <w:szCs w:val="24"/>
          <w:lang w:val="ro-RO"/>
        </w:rPr>
        <w:t>STOFM</w:t>
      </w:r>
      <w:r w:rsidR="002A36AE" w:rsidRPr="00644D4E">
        <w:rPr>
          <w:rFonts w:ascii="Times New Roman" w:hAnsi="Times New Roman" w:cs="Times New Roman"/>
          <w:sz w:val="24"/>
          <w:szCs w:val="24"/>
          <w:lang w:val="ro-RO"/>
        </w:rPr>
        <w:t xml:space="preserve"> au fost înregistrate </w:t>
      </w:r>
      <w:r w:rsidR="002A36AE" w:rsidRPr="00644D4E">
        <w:rPr>
          <w:rFonts w:ascii="Times New Roman" w:hAnsi="Times New Roman" w:cs="Times New Roman"/>
          <w:b/>
          <w:sz w:val="24"/>
          <w:szCs w:val="24"/>
          <w:lang w:val="ro-RO"/>
        </w:rPr>
        <w:t>4</w:t>
      </w:r>
      <w:r w:rsidR="00D202AE" w:rsidRPr="00644D4E">
        <w:rPr>
          <w:rFonts w:ascii="Times New Roman" w:hAnsi="Times New Roman" w:cs="Times New Roman"/>
          <w:b/>
          <w:sz w:val="24"/>
          <w:szCs w:val="24"/>
          <w:lang w:val="ro-RO"/>
        </w:rPr>
        <w:t>49</w:t>
      </w:r>
      <w:r w:rsidR="002A36AE" w:rsidRPr="00644D4E">
        <w:rPr>
          <w:rFonts w:ascii="Times New Roman" w:hAnsi="Times New Roman" w:cs="Times New Roman"/>
          <w:sz w:val="24"/>
          <w:szCs w:val="24"/>
          <w:lang w:val="ro-RO"/>
        </w:rPr>
        <w:t xml:space="preserve"> cereri depuse de angajatori pentru subvenționarea </w:t>
      </w:r>
      <w:r w:rsidR="002A36AE" w:rsidRPr="00644D4E">
        <w:rPr>
          <w:rFonts w:ascii="Times New Roman" w:hAnsi="Times New Roman" w:cs="Times New Roman"/>
          <w:sz w:val="24"/>
          <w:szCs w:val="24"/>
          <w:lang w:val="ro-RO"/>
        </w:rPr>
        <w:lastRenderedPageBreak/>
        <w:t xml:space="preserve">locurilor de muncă (față de </w:t>
      </w:r>
      <w:r w:rsidR="00D202AE" w:rsidRPr="00644D4E">
        <w:rPr>
          <w:rFonts w:ascii="Times New Roman" w:hAnsi="Times New Roman" w:cs="Times New Roman"/>
          <w:sz w:val="24"/>
          <w:szCs w:val="24"/>
          <w:lang w:val="ro-RO"/>
        </w:rPr>
        <w:t>451</w:t>
      </w:r>
      <w:r w:rsidR="002A36AE" w:rsidRPr="00644D4E">
        <w:rPr>
          <w:rFonts w:ascii="Times New Roman" w:hAnsi="Times New Roman" w:cs="Times New Roman"/>
          <w:sz w:val="24"/>
          <w:szCs w:val="24"/>
          <w:lang w:val="ro-RO"/>
        </w:rPr>
        <w:t xml:space="preserve"> cereri </w:t>
      </w:r>
      <w:r w:rsidR="00D202AE" w:rsidRPr="00644D4E">
        <w:rPr>
          <w:rFonts w:ascii="Times New Roman" w:hAnsi="Times New Roman" w:cs="Times New Roman"/>
          <w:sz w:val="24"/>
          <w:szCs w:val="24"/>
          <w:lang w:val="ro-RO"/>
        </w:rPr>
        <w:t>în anul</w:t>
      </w:r>
      <w:r w:rsidR="002A36AE" w:rsidRPr="00644D4E">
        <w:rPr>
          <w:rFonts w:ascii="Times New Roman" w:hAnsi="Times New Roman" w:cs="Times New Roman"/>
          <w:sz w:val="24"/>
          <w:szCs w:val="24"/>
          <w:lang w:val="ro-RO"/>
        </w:rPr>
        <w:t xml:space="preserve"> 202</w:t>
      </w:r>
      <w:r w:rsidR="00D202AE" w:rsidRPr="00644D4E">
        <w:rPr>
          <w:rFonts w:ascii="Times New Roman" w:hAnsi="Times New Roman" w:cs="Times New Roman"/>
          <w:sz w:val="24"/>
          <w:szCs w:val="24"/>
          <w:lang w:val="ro-RO"/>
        </w:rPr>
        <w:t>2</w:t>
      </w:r>
      <w:r w:rsidR="002A36AE" w:rsidRPr="00644D4E">
        <w:rPr>
          <w:rFonts w:ascii="Times New Roman" w:hAnsi="Times New Roman" w:cs="Times New Roman"/>
          <w:sz w:val="24"/>
          <w:szCs w:val="24"/>
          <w:lang w:val="ro-RO"/>
        </w:rPr>
        <w:t>). Din cele 4</w:t>
      </w:r>
      <w:r w:rsidR="00D202AE" w:rsidRPr="00644D4E">
        <w:rPr>
          <w:rFonts w:ascii="Times New Roman" w:hAnsi="Times New Roman" w:cs="Times New Roman"/>
          <w:sz w:val="24"/>
          <w:szCs w:val="24"/>
          <w:lang w:val="ro-RO"/>
        </w:rPr>
        <w:t>49</w:t>
      </w:r>
      <w:r w:rsidR="002A36AE" w:rsidRPr="00644D4E">
        <w:rPr>
          <w:rFonts w:ascii="Times New Roman" w:hAnsi="Times New Roman" w:cs="Times New Roman"/>
          <w:sz w:val="24"/>
          <w:szCs w:val="24"/>
          <w:lang w:val="ro-RO"/>
        </w:rPr>
        <w:t xml:space="preserve"> cereri de subvenționare, </w:t>
      </w:r>
      <w:r w:rsidR="002A36AE" w:rsidRPr="00644D4E">
        <w:rPr>
          <w:rFonts w:ascii="Times New Roman" w:hAnsi="Times New Roman" w:cs="Times New Roman"/>
          <w:b/>
          <w:sz w:val="24"/>
          <w:szCs w:val="24"/>
          <w:lang w:val="ro-RO"/>
        </w:rPr>
        <w:t>4</w:t>
      </w:r>
      <w:r w:rsidR="00D202AE" w:rsidRPr="00644D4E">
        <w:rPr>
          <w:rFonts w:ascii="Times New Roman" w:hAnsi="Times New Roman" w:cs="Times New Roman"/>
          <w:b/>
          <w:sz w:val="24"/>
          <w:szCs w:val="24"/>
          <w:lang w:val="ro-RO"/>
        </w:rPr>
        <w:t>07 (90%)</w:t>
      </w:r>
      <w:r w:rsidR="002A36AE" w:rsidRPr="00644D4E">
        <w:rPr>
          <w:rFonts w:ascii="Times New Roman" w:hAnsi="Times New Roman" w:cs="Times New Roman"/>
          <w:sz w:val="24"/>
          <w:szCs w:val="24"/>
          <w:lang w:val="ro-RO"/>
        </w:rPr>
        <w:t xml:space="preserve"> au fost acceptate. Au beneficiat de subvenții </w:t>
      </w:r>
      <w:r w:rsidR="00D202AE" w:rsidRPr="00644D4E">
        <w:rPr>
          <w:rFonts w:ascii="Times New Roman" w:hAnsi="Times New Roman" w:cs="Times New Roman"/>
          <w:b/>
          <w:sz w:val="24"/>
          <w:szCs w:val="24"/>
          <w:lang w:val="ro-RO"/>
        </w:rPr>
        <w:t>228</w:t>
      </w:r>
      <w:r w:rsidR="002A36AE" w:rsidRPr="00644D4E">
        <w:rPr>
          <w:rFonts w:ascii="Times New Roman" w:hAnsi="Times New Roman" w:cs="Times New Roman"/>
          <w:sz w:val="24"/>
          <w:szCs w:val="24"/>
          <w:lang w:val="ro-RO"/>
        </w:rPr>
        <w:t xml:space="preserve"> angajatori. Majoritatea angajatorilor (9</w:t>
      </w:r>
      <w:r w:rsidR="00D202AE" w:rsidRPr="00644D4E">
        <w:rPr>
          <w:rFonts w:ascii="Times New Roman" w:hAnsi="Times New Roman" w:cs="Times New Roman"/>
          <w:sz w:val="24"/>
          <w:szCs w:val="24"/>
          <w:lang w:val="ro-RO"/>
        </w:rPr>
        <w:t>3</w:t>
      </w:r>
      <w:r w:rsidR="002A36AE" w:rsidRPr="00644D4E">
        <w:rPr>
          <w:rFonts w:ascii="Times New Roman" w:hAnsi="Times New Roman" w:cs="Times New Roman"/>
          <w:sz w:val="24"/>
          <w:szCs w:val="24"/>
          <w:lang w:val="ro-RO"/>
        </w:rPr>
        <w:t>%) sunt din sectorul ÎMM</w:t>
      </w:r>
      <w:r w:rsidR="00D05134" w:rsidRPr="00644D4E">
        <w:rPr>
          <w:rFonts w:ascii="Times New Roman" w:hAnsi="Times New Roman" w:cs="Times New Roman"/>
          <w:sz w:val="24"/>
          <w:szCs w:val="24"/>
          <w:lang w:val="ro-RO"/>
        </w:rPr>
        <w:t xml:space="preserve"> (51</w:t>
      </w:r>
      <w:r w:rsidR="002A36AE" w:rsidRPr="00644D4E">
        <w:rPr>
          <w:rFonts w:ascii="Times New Roman" w:hAnsi="Times New Roman" w:cs="Times New Roman"/>
          <w:sz w:val="24"/>
          <w:szCs w:val="24"/>
          <w:lang w:val="ro-RO"/>
        </w:rPr>
        <w:t>% – micro, 2</w:t>
      </w:r>
      <w:r w:rsidR="00D05134" w:rsidRPr="00644D4E">
        <w:rPr>
          <w:rFonts w:ascii="Times New Roman" w:hAnsi="Times New Roman" w:cs="Times New Roman"/>
          <w:sz w:val="24"/>
          <w:szCs w:val="24"/>
          <w:lang w:val="ro-RO"/>
        </w:rPr>
        <w:t>8</w:t>
      </w:r>
      <w:r w:rsidR="002A36AE" w:rsidRPr="00644D4E">
        <w:rPr>
          <w:rFonts w:ascii="Times New Roman" w:hAnsi="Times New Roman" w:cs="Times New Roman"/>
          <w:sz w:val="24"/>
          <w:szCs w:val="24"/>
          <w:lang w:val="ro-RO"/>
        </w:rPr>
        <w:t xml:space="preserve">% – mici, </w:t>
      </w:r>
      <w:r w:rsidR="00D05134" w:rsidRPr="00644D4E">
        <w:rPr>
          <w:rFonts w:ascii="Times New Roman" w:hAnsi="Times New Roman" w:cs="Times New Roman"/>
          <w:sz w:val="24"/>
          <w:szCs w:val="24"/>
          <w:lang w:val="ro-RO"/>
        </w:rPr>
        <w:t>14</w:t>
      </w:r>
      <w:r w:rsidR="002A36AE" w:rsidRPr="00644D4E">
        <w:rPr>
          <w:rFonts w:ascii="Times New Roman" w:hAnsi="Times New Roman" w:cs="Times New Roman"/>
          <w:sz w:val="24"/>
          <w:szCs w:val="24"/>
          <w:lang w:val="ro-RO"/>
        </w:rPr>
        <w:t>% – mijlocii</w:t>
      </w:r>
      <w:r w:rsidR="00D05134" w:rsidRPr="00644D4E">
        <w:rPr>
          <w:rFonts w:ascii="Times New Roman" w:hAnsi="Times New Roman" w:cs="Times New Roman"/>
          <w:sz w:val="24"/>
          <w:szCs w:val="24"/>
          <w:lang w:val="ro-RO"/>
        </w:rPr>
        <w:t>)</w:t>
      </w:r>
      <w:r w:rsidR="002A36AE" w:rsidRPr="00644D4E">
        <w:rPr>
          <w:rFonts w:ascii="Times New Roman" w:hAnsi="Times New Roman" w:cs="Times New Roman"/>
          <w:sz w:val="24"/>
          <w:szCs w:val="24"/>
          <w:lang w:val="ro-RO"/>
        </w:rPr>
        <w:t xml:space="preserve"> și 7% sunt companii mari.</w:t>
      </w:r>
    </w:p>
    <w:p w14:paraId="271FE570" w14:textId="71D246F4" w:rsidR="00FB75D0" w:rsidRPr="00644D4E" w:rsidRDefault="002A36AE" w:rsidP="006C49E8">
      <w:pPr>
        <w:pStyle w:val="NoSpacing"/>
        <w:spacing w:after="120"/>
        <w:ind w:right="-112"/>
        <w:jc w:val="both"/>
        <w:rPr>
          <w:rStyle w:val="Strong"/>
          <w:rFonts w:ascii="Times New Roman" w:hAnsi="Times New Roman" w:cs="Times New Roman"/>
          <w:b w:val="0"/>
          <w:sz w:val="24"/>
          <w:szCs w:val="24"/>
          <w:lang w:val="ro-RO"/>
        </w:rPr>
      </w:pPr>
      <w:r w:rsidRPr="00644D4E">
        <w:rPr>
          <w:rFonts w:ascii="Times New Roman" w:hAnsi="Times New Roman" w:cs="Times New Roman"/>
          <w:sz w:val="24"/>
          <w:szCs w:val="24"/>
          <w:lang w:val="ro-RO"/>
        </w:rPr>
        <w:t xml:space="preserve">Beneficiarii subvențiilor își desfășurau activitatea în următoarele domenii: </w:t>
      </w:r>
      <w:r w:rsidR="00D05134" w:rsidRPr="00644D4E">
        <w:rPr>
          <w:rFonts w:ascii="Times New Roman" w:hAnsi="Times New Roman" w:cs="Times New Roman"/>
          <w:b/>
          <w:sz w:val="24"/>
          <w:szCs w:val="24"/>
          <w:lang w:val="ro-RO"/>
        </w:rPr>
        <w:t>37</w:t>
      </w:r>
      <w:r w:rsidRPr="00644D4E">
        <w:rPr>
          <w:rFonts w:ascii="Times New Roman" w:hAnsi="Times New Roman" w:cs="Times New Roman"/>
          <w:b/>
          <w:sz w:val="24"/>
          <w:szCs w:val="24"/>
          <w:lang w:val="ro-RO"/>
        </w:rPr>
        <w:t>%</w:t>
      </w:r>
      <w:r w:rsidRPr="00644D4E">
        <w:rPr>
          <w:rFonts w:ascii="Times New Roman" w:hAnsi="Times New Roman" w:cs="Times New Roman"/>
          <w:sz w:val="24"/>
          <w:szCs w:val="24"/>
          <w:lang w:val="ro-RO"/>
        </w:rPr>
        <w:t xml:space="preserve"> – </w:t>
      </w:r>
      <w:r w:rsidR="003051E5" w:rsidRPr="00644D4E">
        <w:rPr>
          <w:rFonts w:ascii="Times New Roman" w:hAnsi="Times New Roman" w:cs="Times New Roman"/>
          <w:i/>
          <w:sz w:val="24"/>
          <w:szCs w:val="24"/>
          <w:lang w:val="ro-RO"/>
        </w:rPr>
        <w:t>A</w:t>
      </w:r>
      <w:r w:rsidRPr="00644D4E">
        <w:rPr>
          <w:rFonts w:ascii="Times New Roman" w:hAnsi="Times New Roman" w:cs="Times New Roman"/>
          <w:i/>
          <w:sz w:val="24"/>
          <w:szCs w:val="24"/>
          <w:lang w:val="ro-RO"/>
        </w:rPr>
        <w:t>lte activități de servicii</w:t>
      </w:r>
      <w:r w:rsidRPr="00644D4E">
        <w:rPr>
          <w:rFonts w:ascii="Times New Roman" w:hAnsi="Times New Roman" w:cs="Times New Roman"/>
          <w:sz w:val="24"/>
          <w:szCs w:val="24"/>
          <w:lang w:val="ro-RO"/>
        </w:rPr>
        <w:t xml:space="preserve">, </w:t>
      </w:r>
      <w:r w:rsidR="00D05134" w:rsidRPr="00644D4E">
        <w:rPr>
          <w:rFonts w:ascii="Times New Roman" w:hAnsi="Times New Roman" w:cs="Times New Roman"/>
          <w:b/>
          <w:sz w:val="24"/>
          <w:szCs w:val="24"/>
          <w:lang w:val="ro-RO"/>
        </w:rPr>
        <w:t>19</w:t>
      </w:r>
      <w:r w:rsidRPr="00644D4E">
        <w:rPr>
          <w:rFonts w:ascii="Times New Roman" w:hAnsi="Times New Roman" w:cs="Times New Roman"/>
          <w:b/>
          <w:sz w:val="24"/>
          <w:szCs w:val="24"/>
          <w:lang w:val="ro-RO"/>
        </w:rPr>
        <w:t>%</w:t>
      </w:r>
      <w:r w:rsidRPr="00644D4E">
        <w:rPr>
          <w:rFonts w:ascii="Times New Roman" w:hAnsi="Times New Roman" w:cs="Times New Roman"/>
          <w:sz w:val="24"/>
          <w:szCs w:val="24"/>
          <w:lang w:val="ro-RO"/>
        </w:rPr>
        <w:t xml:space="preserve"> – </w:t>
      </w:r>
      <w:r w:rsidR="003051E5" w:rsidRPr="00644D4E">
        <w:rPr>
          <w:rFonts w:ascii="Times New Roman" w:hAnsi="Times New Roman" w:cs="Times New Roman"/>
          <w:i/>
          <w:sz w:val="24"/>
          <w:szCs w:val="24"/>
          <w:lang w:val="ro-RO"/>
        </w:rPr>
        <w:t>C</w:t>
      </w:r>
      <w:r w:rsidRPr="00644D4E">
        <w:rPr>
          <w:rFonts w:ascii="Times New Roman" w:hAnsi="Times New Roman" w:cs="Times New Roman"/>
          <w:i/>
          <w:sz w:val="24"/>
          <w:szCs w:val="24"/>
          <w:lang w:val="ro-RO"/>
        </w:rPr>
        <w:t>omerț cu ridicata și cu amănuntul</w:t>
      </w:r>
      <w:r w:rsidRPr="00644D4E">
        <w:rPr>
          <w:rFonts w:ascii="Times New Roman" w:hAnsi="Times New Roman" w:cs="Times New Roman"/>
          <w:sz w:val="24"/>
          <w:szCs w:val="24"/>
          <w:lang w:val="ro-RO"/>
        </w:rPr>
        <w:t xml:space="preserve">, </w:t>
      </w:r>
      <w:r w:rsidR="009978AE" w:rsidRPr="00644D4E">
        <w:rPr>
          <w:rFonts w:ascii="Times New Roman" w:hAnsi="Times New Roman" w:cs="Times New Roman"/>
          <w:b/>
          <w:sz w:val="24"/>
          <w:szCs w:val="24"/>
          <w:lang w:val="ro-RO"/>
        </w:rPr>
        <w:t>12%</w:t>
      </w:r>
      <w:r w:rsidR="009978AE" w:rsidRPr="00644D4E">
        <w:rPr>
          <w:rFonts w:ascii="Times New Roman" w:hAnsi="Times New Roman" w:cs="Times New Roman"/>
          <w:sz w:val="24"/>
          <w:szCs w:val="24"/>
          <w:lang w:val="ro-RO"/>
        </w:rPr>
        <w:t xml:space="preserve"> – </w:t>
      </w:r>
      <w:r w:rsidR="009978AE" w:rsidRPr="00644D4E">
        <w:rPr>
          <w:rFonts w:ascii="Times New Roman" w:hAnsi="Times New Roman" w:cs="Times New Roman"/>
          <w:i/>
          <w:sz w:val="24"/>
          <w:szCs w:val="24"/>
          <w:lang w:val="ro-RO"/>
        </w:rPr>
        <w:t>Agricultură, silvicultură și pescuit</w:t>
      </w:r>
      <w:r w:rsidR="009978AE" w:rsidRPr="00644D4E">
        <w:rPr>
          <w:rFonts w:ascii="Times New Roman" w:hAnsi="Times New Roman" w:cs="Times New Roman"/>
          <w:sz w:val="24"/>
          <w:szCs w:val="24"/>
          <w:lang w:val="ro-RO"/>
        </w:rPr>
        <w:t xml:space="preserve">, </w:t>
      </w:r>
      <w:r w:rsidRPr="00644D4E">
        <w:rPr>
          <w:rFonts w:ascii="Times New Roman" w:hAnsi="Times New Roman" w:cs="Times New Roman"/>
          <w:b/>
          <w:sz w:val="24"/>
          <w:szCs w:val="24"/>
          <w:lang w:val="ro-RO"/>
        </w:rPr>
        <w:t>11%</w:t>
      </w:r>
      <w:r w:rsidRPr="00644D4E">
        <w:rPr>
          <w:rFonts w:ascii="Times New Roman" w:hAnsi="Times New Roman" w:cs="Times New Roman"/>
          <w:sz w:val="24"/>
          <w:szCs w:val="24"/>
          <w:lang w:val="ro-RO"/>
        </w:rPr>
        <w:t xml:space="preserve"> – </w:t>
      </w:r>
      <w:r w:rsidR="003051E5" w:rsidRPr="00644D4E">
        <w:rPr>
          <w:rFonts w:ascii="Times New Roman" w:hAnsi="Times New Roman" w:cs="Times New Roman"/>
          <w:i/>
          <w:sz w:val="24"/>
          <w:szCs w:val="24"/>
          <w:lang w:val="ro-RO"/>
        </w:rPr>
        <w:t>I</w:t>
      </w:r>
      <w:r w:rsidRPr="00644D4E">
        <w:rPr>
          <w:rFonts w:ascii="Times New Roman" w:hAnsi="Times New Roman" w:cs="Times New Roman"/>
          <w:i/>
          <w:sz w:val="24"/>
          <w:szCs w:val="24"/>
          <w:lang w:val="ro-RO"/>
        </w:rPr>
        <w:t>ndustria prelucrătoare</w:t>
      </w:r>
      <w:r w:rsidRPr="00644D4E">
        <w:rPr>
          <w:rFonts w:ascii="Times New Roman" w:hAnsi="Times New Roman" w:cs="Times New Roman"/>
          <w:sz w:val="24"/>
          <w:szCs w:val="24"/>
          <w:lang w:val="ro-RO"/>
        </w:rPr>
        <w:t xml:space="preserve">, </w:t>
      </w:r>
      <w:r w:rsidR="009978AE" w:rsidRPr="00644D4E">
        <w:rPr>
          <w:rFonts w:ascii="Times New Roman" w:hAnsi="Times New Roman" w:cs="Times New Roman"/>
          <w:sz w:val="24"/>
          <w:szCs w:val="24"/>
          <w:lang w:val="ro-RO"/>
        </w:rPr>
        <w:t xml:space="preserve">cu câte </w:t>
      </w:r>
      <w:r w:rsidR="009978AE" w:rsidRPr="00644D4E">
        <w:rPr>
          <w:rFonts w:ascii="Times New Roman" w:hAnsi="Times New Roman" w:cs="Times New Roman"/>
          <w:b/>
          <w:sz w:val="24"/>
          <w:szCs w:val="24"/>
          <w:lang w:val="ro-RO"/>
        </w:rPr>
        <w:t>5%</w:t>
      </w:r>
      <w:r w:rsidR="009978AE" w:rsidRPr="00644D4E">
        <w:rPr>
          <w:rFonts w:ascii="Times New Roman" w:hAnsi="Times New Roman" w:cs="Times New Roman"/>
          <w:sz w:val="24"/>
          <w:szCs w:val="24"/>
          <w:lang w:val="ro-RO"/>
        </w:rPr>
        <w:t xml:space="preserve"> - </w:t>
      </w:r>
      <w:r w:rsidR="009978AE" w:rsidRPr="00644D4E">
        <w:rPr>
          <w:rFonts w:ascii="Times New Roman" w:hAnsi="Times New Roman" w:cs="Times New Roman"/>
          <w:i/>
          <w:sz w:val="24"/>
          <w:szCs w:val="24"/>
          <w:lang w:val="ro-RO"/>
        </w:rPr>
        <w:t xml:space="preserve">Sănătate </w:t>
      </w:r>
      <w:proofErr w:type="spellStart"/>
      <w:r w:rsidR="009978AE" w:rsidRPr="00644D4E">
        <w:rPr>
          <w:rFonts w:ascii="Times New Roman" w:hAnsi="Times New Roman" w:cs="Times New Roman"/>
          <w:i/>
          <w:sz w:val="24"/>
          <w:szCs w:val="24"/>
          <w:lang w:val="ro-RO"/>
        </w:rPr>
        <w:t>şi</w:t>
      </w:r>
      <w:proofErr w:type="spellEnd"/>
      <w:r w:rsidR="009978AE" w:rsidRPr="00644D4E">
        <w:rPr>
          <w:rFonts w:ascii="Times New Roman" w:hAnsi="Times New Roman" w:cs="Times New Roman"/>
          <w:i/>
          <w:sz w:val="24"/>
          <w:szCs w:val="24"/>
          <w:lang w:val="ro-RO"/>
        </w:rPr>
        <w:t xml:space="preserve"> </w:t>
      </w:r>
      <w:proofErr w:type="spellStart"/>
      <w:r w:rsidR="009978AE" w:rsidRPr="00644D4E">
        <w:rPr>
          <w:rFonts w:ascii="Times New Roman" w:hAnsi="Times New Roman" w:cs="Times New Roman"/>
          <w:i/>
          <w:sz w:val="24"/>
          <w:szCs w:val="24"/>
          <w:lang w:val="ro-RO"/>
        </w:rPr>
        <w:t>asistenţă</w:t>
      </w:r>
      <w:proofErr w:type="spellEnd"/>
      <w:r w:rsidR="009978AE" w:rsidRPr="00644D4E">
        <w:rPr>
          <w:rFonts w:ascii="Times New Roman" w:hAnsi="Times New Roman" w:cs="Times New Roman"/>
          <w:i/>
          <w:sz w:val="24"/>
          <w:szCs w:val="24"/>
          <w:lang w:val="ro-RO"/>
        </w:rPr>
        <w:t xml:space="preserve"> socială</w:t>
      </w:r>
      <w:r w:rsidR="009978AE" w:rsidRPr="00644D4E">
        <w:rPr>
          <w:rFonts w:ascii="Times New Roman" w:hAnsi="Times New Roman" w:cs="Times New Roman"/>
          <w:b/>
          <w:sz w:val="24"/>
          <w:szCs w:val="24"/>
          <w:lang w:val="ro-RO"/>
        </w:rPr>
        <w:t xml:space="preserve"> și</w:t>
      </w:r>
      <w:r w:rsidRPr="00644D4E">
        <w:rPr>
          <w:rFonts w:ascii="Times New Roman" w:hAnsi="Times New Roman" w:cs="Times New Roman"/>
          <w:sz w:val="24"/>
          <w:szCs w:val="24"/>
          <w:lang w:val="ro-RO"/>
        </w:rPr>
        <w:t xml:space="preserve"> </w:t>
      </w:r>
      <w:r w:rsidR="003051E5" w:rsidRPr="00644D4E">
        <w:rPr>
          <w:rFonts w:ascii="Times New Roman" w:hAnsi="Times New Roman" w:cs="Times New Roman"/>
          <w:i/>
          <w:sz w:val="24"/>
          <w:szCs w:val="24"/>
          <w:lang w:val="ro-RO"/>
        </w:rPr>
        <w:t>C</w:t>
      </w:r>
      <w:r w:rsidRPr="00644D4E">
        <w:rPr>
          <w:rFonts w:ascii="Times New Roman" w:hAnsi="Times New Roman" w:cs="Times New Roman"/>
          <w:i/>
          <w:sz w:val="24"/>
          <w:szCs w:val="24"/>
          <w:lang w:val="ro-RO"/>
        </w:rPr>
        <w:t>onstrucții</w:t>
      </w:r>
      <w:r w:rsidRPr="00644D4E">
        <w:rPr>
          <w:rFonts w:ascii="Times New Roman" w:hAnsi="Times New Roman" w:cs="Times New Roman"/>
          <w:sz w:val="24"/>
          <w:szCs w:val="24"/>
          <w:lang w:val="ro-RO"/>
        </w:rPr>
        <w:t xml:space="preserve">, </w:t>
      </w:r>
      <w:r w:rsidR="00D05134" w:rsidRPr="00644D4E">
        <w:rPr>
          <w:rFonts w:ascii="Times New Roman" w:hAnsi="Times New Roman" w:cs="Times New Roman"/>
          <w:b/>
          <w:sz w:val="24"/>
          <w:szCs w:val="24"/>
          <w:lang w:val="ro-RO"/>
        </w:rPr>
        <w:t>3</w:t>
      </w:r>
      <w:r w:rsidRPr="00644D4E">
        <w:rPr>
          <w:rFonts w:ascii="Times New Roman" w:hAnsi="Times New Roman" w:cs="Times New Roman"/>
          <w:b/>
          <w:sz w:val="24"/>
          <w:szCs w:val="24"/>
          <w:lang w:val="ro-RO"/>
        </w:rPr>
        <w:t>%</w:t>
      </w:r>
      <w:r w:rsidRPr="00644D4E">
        <w:rPr>
          <w:rFonts w:ascii="Times New Roman" w:hAnsi="Times New Roman" w:cs="Times New Roman"/>
          <w:sz w:val="24"/>
          <w:szCs w:val="24"/>
          <w:lang w:val="ro-RO"/>
        </w:rPr>
        <w:t xml:space="preserve"> – </w:t>
      </w:r>
      <w:r w:rsidR="003051E5" w:rsidRPr="00644D4E">
        <w:rPr>
          <w:rFonts w:ascii="Times New Roman" w:hAnsi="Times New Roman" w:cs="Times New Roman"/>
          <w:i/>
          <w:sz w:val="24"/>
          <w:szCs w:val="24"/>
          <w:lang w:val="ro-RO"/>
        </w:rPr>
        <w:t>T</w:t>
      </w:r>
      <w:r w:rsidRPr="00644D4E">
        <w:rPr>
          <w:rFonts w:ascii="Times New Roman" w:hAnsi="Times New Roman" w:cs="Times New Roman"/>
          <w:i/>
          <w:sz w:val="24"/>
          <w:szCs w:val="24"/>
          <w:lang w:val="ro-RO"/>
        </w:rPr>
        <w:t xml:space="preserve">ransport </w:t>
      </w:r>
      <w:proofErr w:type="spellStart"/>
      <w:r w:rsidRPr="00644D4E">
        <w:rPr>
          <w:rFonts w:ascii="Times New Roman" w:hAnsi="Times New Roman" w:cs="Times New Roman"/>
          <w:i/>
          <w:sz w:val="24"/>
          <w:szCs w:val="24"/>
          <w:lang w:val="ro-RO"/>
        </w:rPr>
        <w:t>şi</w:t>
      </w:r>
      <w:proofErr w:type="spellEnd"/>
      <w:r w:rsidRPr="00644D4E">
        <w:rPr>
          <w:rFonts w:ascii="Times New Roman" w:hAnsi="Times New Roman" w:cs="Times New Roman"/>
          <w:i/>
          <w:sz w:val="24"/>
          <w:szCs w:val="24"/>
          <w:lang w:val="ro-RO"/>
        </w:rPr>
        <w:t xml:space="preserve"> depozitare</w:t>
      </w:r>
      <w:r w:rsidRPr="00644D4E">
        <w:rPr>
          <w:rFonts w:ascii="Times New Roman" w:hAnsi="Times New Roman" w:cs="Times New Roman"/>
          <w:sz w:val="24"/>
          <w:szCs w:val="24"/>
          <w:lang w:val="ro-RO"/>
        </w:rPr>
        <w:t xml:space="preserve">, </w:t>
      </w:r>
      <w:r w:rsidR="009978AE" w:rsidRPr="00644D4E">
        <w:rPr>
          <w:rFonts w:ascii="Times New Roman" w:hAnsi="Times New Roman" w:cs="Times New Roman"/>
          <w:sz w:val="24"/>
          <w:szCs w:val="24"/>
          <w:lang w:val="ro-RO"/>
        </w:rPr>
        <w:t xml:space="preserve">cu câte </w:t>
      </w:r>
      <w:r w:rsidR="009978AE" w:rsidRPr="00644D4E">
        <w:rPr>
          <w:rFonts w:ascii="Times New Roman" w:hAnsi="Times New Roman" w:cs="Times New Roman"/>
          <w:b/>
          <w:sz w:val="24"/>
          <w:szCs w:val="24"/>
          <w:lang w:val="ro-RO"/>
        </w:rPr>
        <w:t>2</w:t>
      </w:r>
      <w:r w:rsidRPr="00644D4E">
        <w:rPr>
          <w:rFonts w:ascii="Times New Roman" w:hAnsi="Times New Roman" w:cs="Times New Roman"/>
          <w:b/>
          <w:sz w:val="24"/>
          <w:szCs w:val="24"/>
          <w:lang w:val="ro-RO"/>
        </w:rPr>
        <w:t>%</w:t>
      </w:r>
      <w:r w:rsidRPr="00644D4E">
        <w:rPr>
          <w:rFonts w:ascii="Times New Roman" w:hAnsi="Times New Roman" w:cs="Times New Roman"/>
          <w:sz w:val="24"/>
          <w:szCs w:val="24"/>
          <w:lang w:val="ro-RO"/>
        </w:rPr>
        <w:t xml:space="preserve"> – </w:t>
      </w:r>
      <w:r w:rsidR="003051E5" w:rsidRPr="00644D4E">
        <w:rPr>
          <w:rFonts w:ascii="Times New Roman" w:hAnsi="Times New Roman" w:cs="Times New Roman"/>
          <w:i/>
          <w:sz w:val="24"/>
          <w:szCs w:val="24"/>
          <w:lang w:val="ro-RO"/>
        </w:rPr>
        <w:t>D</w:t>
      </w:r>
      <w:r w:rsidRPr="00644D4E">
        <w:rPr>
          <w:rFonts w:ascii="Times New Roman" w:hAnsi="Times New Roman" w:cs="Times New Roman"/>
          <w:i/>
          <w:sz w:val="24"/>
          <w:szCs w:val="24"/>
          <w:lang w:val="ro-RO"/>
        </w:rPr>
        <w:t>istribuția apei; salubritate, gestionarea deșeurilor, activități de decontaminare</w:t>
      </w:r>
      <w:r w:rsidR="009978AE" w:rsidRPr="00644D4E">
        <w:rPr>
          <w:rFonts w:ascii="Times New Roman" w:hAnsi="Times New Roman" w:cs="Times New Roman"/>
          <w:i/>
          <w:sz w:val="24"/>
          <w:szCs w:val="24"/>
          <w:lang w:val="ro-RO"/>
        </w:rPr>
        <w:t xml:space="preserve"> și</w:t>
      </w:r>
      <w:r w:rsidRPr="00644D4E">
        <w:rPr>
          <w:rFonts w:ascii="Times New Roman" w:hAnsi="Times New Roman" w:cs="Times New Roman"/>
          <w:sz w:val="24"/>
          <w:szCs w:val="24"/>
          <w:lang w:val="ro-RO"/>
        </w:rPr>
        <w:t xml:space="preserve"> </w:t>
      </w:r>
      <w:proofErr w:type="spellStart"/>
      <w:r w:rsidR="003051E5" w:rsidRPr="00644D4E">
        <w:rPr>
          <w:rFonts w:ascii="Times New Roman" w:hAnsi="Times New Roman" w:cs="Times New Roman"/>
          <w:i/>
          <w:sz w:val="24"/>
          <w:szCs w:val="24"/>
          <w:lang w:val="ro-RO"/>
        </w:rPr>
        <w:t>A</w:t>
      </w:r>
      <w:r w:rsidRPr="00644D4E">
        <w:rPr>
          <w:rFonts w:ascii="Times New Roman" w:hAnsi="Times New Roman" w:cs="Times New Roman"/>
          <w:i/>
          <w:sz w:val="24"/>
          <w:szCs w:val="24"/>
          <w:lang w:val="ro-RO"/>
        </w:rPr>
        <w:t>ctivităţi</w:t>
      </w:r>
      <w:proofErr w:type="spellEnd"/>
      <w:r w:rsidRPr="00644D4E">
        <w:rPr>
          <w:rFonts w:ascii="Times New Roman" w:hAnsi="Times New Roman" w:cs="Times New Roman"/>
          <w:i/>
          <w:sz w:val="24"/>
          <w:szCs w:val="24"/>
          <w:lang w:val="ro-RO"/>
        </w:rPr>
        <w:t xml:space="preserve"> de cazare </w:t>
      </w:r>
      <w:proofErr w:type="spellStart"/>
      <w:r w:rsidRPr="00644D4E">
        <w:rPr>
          <w:rFonts w:ascii="Times New Roman" w:hAnsi="Times New Roman" w:cs="Times New Roman"/>
          <w:i/>
          <w:sz w:val="24"/>
          <w:szCs w:val="24"/>
          <w:lang w:val="ro-RO"/>
        </w:rPr>
        <w:t>şi</w:t>
      </w:r>
      <w:proofErr w:type="spellEnd"/>
      <w:r w:rsidRPr="00644D4E">
        <w:rPr>
          <w:rFonts w:ascii="Times New Roman" w:hAnsi="Times New Roman" w:cs="Times New Roman"/>
          <w:i/>
          <w:sz w:val="24"/>
          <w:szCs w:val="24"/>
          <w:lang w:val="ro-RO"/>
        </w:rPr>
        <w:t xml:space="preserve"> </w:t>
      </w:r>
      <w:proofErr w:type="spellStart"/>
      <w:r w:rsidRPr="00644D4E">
        <w:rPr>
          <w:rFonts w:ascii="Times New Roman" w:hAnsi="Times New Roman" w:cs="Times New Roman"/>
          <w:i/>
          <w:sz w:val="24"/>
          <w:szCs w:val="24"/>
          <w:lang w:val="ro-RO"/>
        </w:rPr>
        <w:t>alimentaţie</w:t>
      </w:r>
      <w:proofErr w:type="spellEnd"/>
      <w:r w:rsidRPr="00644D4E">
        <w:rPr>
          <w:rFonts w:ascii="Times New Roman" w:hAnsi="Times New Roman" w:cs="Times New Roman"/>
          <w:i/>
          <w:sz w:val="24"/>
          <w:szCs w:val="24"/>
          <w:lang w:val="ro-RO"/>
        </w:rPr>
        <w:t xml:space="preserve"> publică</w:t>
      </w:r>
      <w:r w:rsidRPr="00644D4E">
        <w:rPr>
          <w:rFonts w:ascii="Times New Roman" w:hAnsi="Times New Roman" w:cs="Times New Roman"/>
          <w:sz w:val="24"/>
          <w:szCs w:val="24"/>
          <w:lang w:val="ro-RO"/>
        </w:rPr>
        <w:t>, câte 1</w:t>
      </w:r>
      <w:r w:rsidR="009978AE" w:rsidRPr="00644D4E">
        <w:rPr>
          <w:rFonts w:ascii="Times New Roman" w:hAnsi="Times New Roman" w:cs="Times New Roman"/>
          <w:sz w:val="24"/>
          <w:szCs w:val="24"/>
          <w:lang w:val="ro-RO"/>
        </w:rPr>
        <w:t>%</w:t>
      </w:r>
      <w:r w:rsidRPr="00644D4E">
        <w:rPr>
          <w:rFonts w:ascii="Times New Roman" w:hAnsi="Times New Roman" w:cs="Times New Roman"/>
          <w:sz w:val="24"/>
          <w:szCs w:val="24"/>
          <w:lang w:val="ro-RO"/>
        </w:rPr>
        <w:t xml:space="preserve"> </w:t>
      </w:r>
      <w:r w:rsidR="003051E5" w:rsidRPr="00644D4E">
        <w:rPr>
          <w:rFonts w:ascii="Times New Roman" w:hAnsi="Times New Roman" w:cs="Times New Roman"/>
          <w:sz w:val="24"/>
          <w:szCs w:val="24"/>
          <w:lang w:val="ro-RO"/>
        </w:rPr>
        <w:t>erau</w:t>
      </w:r>
      <w:r w:rsidRPr="00644D4E">
        <w:rPr>
          <w:rFonts w:ascii="Times New Roman" w:hAnsi="Times New Roman" w:cs="Times New Roman"/>
          <w:sz w:val="24"/>
          <w:szCs w:val="24"/>
          <w:lang w:val="ro-RO"/>
        </w:rPr>
        <w:t xml:space="preserve"> din domeniile: </w:t>
      </w:r>
      <w:r w:rsidR="00D05134" w:rsidRPr="00644D4E">
        <w:rPr>
          <w:rFonts w:ascii="Times New Roman" w:hAnsi="Times New Roman" w:cs="Times New Roman"/>
          <w:i/>
          <w:sz w:val="24"/>
          <w:szCs w:val="24"/>
          <w:lang w:val="ro-RO"/>
        </w:rPr>
        <w:t>Învățământ, Informații și comunicații</w:t>
      </w:r>
      <w:r w:rsidRPr="00644D4E">
        <w:rPr>
          <w:rFonts w:ascii="Times New Roman" w:hAnsi="Times New Roman" w:cs="Times New Roman"/>
          <w:sz w:val="24"/>
          <w:szCs w:val="24"/>
          <w:lang w:val="ro-RO"/>
        </w:rPr>
        <w:t xml:space="preserve">, </w:t>
      </w:r>
      <w:r w:rsidR="003051E5" w:rsidRPr="00644D4E">
        <w:rPr>
          <w:rFonts w:ascii="Times New Roman" w:hAnsi="Times New Roman" w:cs="Times New Roman"/>
          <w:i/>
          <w:sz w:val="24"/>
          <w:szCs w:val="24"/>
          <w:lang w:val="ro-RO"/>
        </w:rPr>
        <w:t>A</w:t>
      </w:r>
      <w:r w:rsidRPr="00644D4E">
        <w:rPr>
          <w:rFonts w:ascii="Times New Roman" w:hAnsi="Times New Roman" w:cs="Times New Roman"/>
          <w:i/>
          <w:sz w:val="24"/>
          <w:szCs w:val="24"/>
          <w:lang w:val="ro-RO"/>
        </w:rPr>
        <w:t>ctivități financiare și asigurări</w:t>
      </w:r>
      <w:r w:rsidR="00D05134" w:rsidRPr="00644D4E">
        <w:rPr>
          <w:rFonts w:ascii="Times New Roman" w:hAnsi="Times New Roman" w:cs="Times New Roman"/>
          <w:i/>
          <w:sz w:val="24"/>
          <w:szCs w:val="24"/>
          <w:lang w:val="ro-RO"/>
        </w:rPr>
        <w:t xml:space="preserve"> și Artă, activități de recreere și de agreement.</w:t>
      </w:r>
      <w:r w:rsidR="003051E5" w:rsidRPr="00644D4E">
        <w:rPr>
          <w:rFonts w:ascii="Times New Roman" w:hAnsi="Times New Roman" w:cs="Times New Roman"/>
          <w:sz w:val="24"/>
          <w:szCs w:val="24"/>
          <w:lang w:val="ro-RO"/>
        </w:rPr>
        <w:t xml:space="preserve"> </w:t>
      </w:r>
      <w:r w:rsidRPr="00644D4E">
        <w:rPr>
          <w:rFonts w:ascii="Times New Roman" w:hAnsi="Times New Roman" w:cs="Times New Roman"/>
          <w:sz w:val="24"/>
          <w:szCs w:val="24"/>
          <w:lang w:val="ro-RO"/>
        </w:rPr>
        <w:t xml:space="preserve">În cadrul celor </w:t>
      </w:r>
      <w:r w:rsidR="009978AE" w:rsidRPr="00644D4E">
        <w:rPr>
          <w:rFonts w:ascii="Times New Roman" w:hAnsi="Times New Roman" w:cs="Times New Roman"/>
          <w:sz w:val="24"/>
          <w:szCs w:val="24"/>
          <w:lang w:val="ro-RO"/>
        </w:rPr>
        <w:t xml:space="preserve">228 </w:t>
      </w:r>
      <w:r w:rsidRPr="00644D4E">
        <w:rPr>
          <w:rFonts w:ascii="Times New Roman" w:hAnsi="Times New Roman" w:cs="Times New Roman"/>
          <w:sz w:val="24"/>
          <w:szCs w:val="24"/>
          <w:lang w:val="ro-RO"/>
        </w:rPr>
        <w:t>companii au fost angajați 4</w:t>
      </w:r>
      <w:r w:rsidR="009978AE" w:rsidRPr="00644D4E">
        <w:rPr>
          <w:rFonts w:ascii="Times New Roman" w:hAnsi="Times New Roman" w:cs="Times New Roman"/>
          <w:sz w:val="24"/>
          <w:szCs w:val="24"/>
          <w:lang w:val="ro-RO"/>
        </w:rPr>
        <w:t>07</w:t>
      </w:r>
      <w:r w:rsidRPr="00644D4E">
        <w:rPr>
          <w:rFonts w:ascii="Times New Roman" w:hAnsi="Times New Roman" w:cs="Times New Roman"/>
          <w:sz w:val="24"/>
          <w:szCs w:val="24"/>
          <w:lang w:val="ro-RO"/>
        </w:rPr>
        <w:t xml:space="preserve"> șomeri care necesită suport suplimentar pe piața muncii, inclusiv </w:t>
      </w:r>
      <w:r w:rsidR="009978AE" w:rsidRPr="00644D4E">
        <w:rPr>
          <w:rFonts w:ascii="Times New Roman" w:hAnsi="Times New Roman" w:cs="Times New Roman"/>
          <w:sz w:val="24"/>
          <w:szCs w:val="24"/>
          <w:lang w:val="ro-RO"/>
        </w:rPr>
        <w:t>49</w:t>
      </w:r>
      <w:r w:rsidRPr="00644D4E">
        <w:rPr>
          <w:rFonts w:ascii="Times New Roman" w:hAnsi="Times New Roman" w:cs="Times New Roman"/>
          <w:sz w:val="24"/>
          <w:szCs w:val="24"/>
          <w:lang w:val="ro-RO"/>
        </w:rPr>
        <w:t xml:space="preserve">% femei. Din numărul total al șomerilor angajați, conform categoriilor de șomeri eligibile pentru subvenționare </w:t>
      </w:r>
      <w:r w:rsidR="009978AE" w:rsidRPr="00644D4E">
        <w:rPr>
          <w:rFonts w:ascii="Times New Roman" w:hAnsi="Times New Roman" w:cs="Times New Roman"/>
          <w:b/>
          <w:sz w:val="24"/>
          <w:szCs w:val="24"/>
          <w:lang w:val="ro-RO"/>
        </w:rPr>
        <w:t>75</w:t>
      </w:r>
      <w:r w:rsidRPr="00644D4E">
        <w:rPr>
          <w:rFonts w:ascii="Times New Roman" w:hAnsi="Times New Roman" w:cs="Times New Roman"/>
          <w:b/>
          <w:sz w:val="24"/>
          <w:szCs w:val="24"/>
          <w:lang w:val="ro-RO"/>
        </w:rPr>
        <w:t>%</w:t>
      </w:r>
      <w:r w:rsidRPr="00644D4E">
        <w:rPr>
          <w:rFonts w:ascii="Times New Roman" w:hAnsi="Times New Roman" w:cs="Times New Roman"/>
          <w:sz w:val="24"/>
          <w:szCs w:val="24"/>
          <w:lang w:val="ro-RO"/>
        </w:rPr>
        <w:t xml:space="preserve"> </w:t>
      </w:r>
      <w:r w:rsidR="00353A33" w:rsidRPr="00644D4E">
        <w:rPr>
          <w:rFonts w:ascii="Times New Roman" w:hAnsi="Times New Roman" w:cs="Times New Roman"/>
          <w:sz w:val="24"/>
          <w:szCs w:val="24"/>
          <w:lang w:val="ro-RO"/>
        </w:rPr>
        <w:t>e</w:t>
      </w:r>
      <w:r w:rsidRPr="00644D4E">
        <w:rPr>
          <w:rFonts w:ascii="Times New Roman" w:hAnsi="Times New Roman" w:cs="Times New Roman"/>
          <w:sz w:val="24"/>
          <w:szCs w:val="24"/>
          <w:lang w:val="ro-RO"/>
        </w:rPr>
        <w:t>rau persoane cu vârstă de 50 de ani și peste</w:t>
      </w:r>
      <w:r w:rsidR="000D1A64" w:rsidRPr="00644D4E">
        <w:rPr>
          <w:rFonts w:ascii="Times New Roman" w:hAnsi="Times New Roman" w:cs="Times New Roman"/>
          <w:sz w:val="24"/>
          <w:szCs w:val="24"/>
          <w:lang w:val="ro-RO"/>
        </w:rPr>
        <w:t>,</w:t>
      </w:r>
      <w:r w:rsidRPr="00644D4E">
        <w:rPr>
          <w:rFonts w:ascii="Times New Roman" w:hAnsi="Times New Roman" w:cs="Times New Roman"/>
          <w:sz w:val="24"/>
          <w:szCs w:val="24"/>
          <w:lang w:val="ro-RO"/>
        </w:rPr>
        <w:t xml:space="preserve"> </w:t>
      </w:r>
      <w:r w:rsidRPr="00644D4E">
        <w:rPr>
          <w:rFonts w:ascii="Times New Roman" w:hAnsi="Times New Roman" w:cs="Times New Roman"/>
          <w:b/>
          <w:sz w:val="24"/>
          <w:szCs w:val="24"/>
          <w:lang w:val="ro-RO"/>
        </w:rPr>
        <w:t>1</w:t>
      </w:r>
      <w:r w:rsidR="009978AE" w:rsidRPr="00644D4E">
        <w:rPr>
          <w:rFonts w:ascii="Times New Roman" w:hAnsi="Times New Roman" w:cs="Times New Roman"/>
          <w:b/>
          <w:sz w:val="24"/>
          <w:szCs w:val="24"/>
          <w:lang w:val="ro-RO"/>
        </w:rPr>
        <w:t>6</w:t>
      </w:r>
      <w:r w:rsidRPr="00644D4E">
        <w:rPr>
          <w:rFonts w:ascii="Times New Roman" w:hAnsi="Times New Roman" w:cs="Times New Roman"/>
          <w:b/>
          <w:sz w:val="24"/>
          <w:szCs w:val="24"/>
          <w:lang w:val="ro-RO"/>
        </w:rPr>
        <w:t>%</w:t>
      </w:r>
      <w:r w:rsidRPr="00644D4E">
        <w:rPr>
          <w:rFonts w:ascii="Times New Roman" w:hAnsi="Times New Roman" w:cs="Times New Roman"/>
          <w:sz w:val="24"/>
          <w:szCs w:val="24"/>
          <w:lang w:val="ro-RO"/>
        </w:rPr>
        <w:t xml:space="preserve"> – persoane cu dizabilități, </w:t>
      </w:r>
      <w:r w:rsidR="009978AE" w:rsidRPr="00644D4E">
        <w:rPr>
          <w:rFonts w:ascii="Times New Roman" w:hAnsi="Times New Roman" w:cs="Times New Roman"/>
          <w:b/>
          <w:sz w:val="24"/>
          <w:szCs w:val="24"/>
          <w:lang w:val="ro-RO"/>
        </w:rPr>
        <w:t>7%</w:t>
      </w:r>
      <w:r w:rsidR="009978AE" w:rsidRPr="00644D4E">
        <w:rPr>
          <w:rFonts w:ascii="Times New Roman" w:hAnsi="Times New Roman" w:cs="Times New Roman"/>
          <w:sz w:val="24"/>
          <w:szCs w:val="24"/>
          <w:lang w:val="ro-RO"/>
        </w:rPr>
        <w:t xml:space="preserve"> – șomeri de lungă durată, </w:t>
      </w:r>
      <w:r w:rsidR="00D8704E" w:rsidRPr="00644D4E">
        <w:rPr>
          <w:rFonts w:ascii="Times New Roman" w:hAnsi="Times New Roman" w:cs="Times New Roman"/>
          <w:b/>
          <w:sz w:val="24"/>
          <w:szCs w:val="24"/>
          <w:lang w:val="ro-RO"/>
        </w:rPr>
        <w:t>1</w:t>
      </w:r>
      <w:r w:rsidRPr="00644D4E">
        <w:rPr>
          <w:rFonts w:ascii="Times New Roman" w:hAnsi="Times New Roman" w:cs="Times New Roman"/>
          <w:b/>
          <w:sz w:val="24"/>
          <w:szCs w:val="24"/>
          <w:lang w:val="ro-RO"/>
        </w:rPr>
        <w:t>%</w:t>
      </w:r>
      <w:r w:rsidRPr="00644D4E">
        <w:rPr>
          <w:rFonts w:ascii="Times New Roman" w:hAnsi="Times New Roman" w:cs="Times New Roman"/>
          <w:sz w:val="24"/>
          <w:szCs w:val="24"/>
          <w:lang w:val="ro-RO"/>
        </w:rPr>
        <w:t xml:space="preserve"> – persoane eliberate din locurile de detenție și </w:t>
      </w:r>
      <w:r w:rsidR="009978AE" w:rsidRPr="00644D4E">
        <w:rPr>
          <w:rFonts w:ascii="Times New Roman" w:hAnsi="Times New Roman" w:cs="Times New Roman"/>
          <w:b/>
          <w:sz w:val="24"/>
          <w:szCs w:val="24"/>
          <w:lang w:val="ro-RO"/>
        </w:rPr>
        <w:t>1</w:t>
      </w:r>
      <w:r w:rsidRPr="00644D4E">
        <w:rPr>
          <w:rFonts w:ascii="Times New Roman" w:hAnsi="Times New Roman" w:cs="Times New Roman"/>
          <w:b/>
          <w:sz w:val="24"/>
          <w:szCs w:val="24"/>
          <w:lang w:val="ro-RO"/>
        </w:rPr>
        <w:t>%</w:t>
      </w:r>
      <w:r w:rsidRPr="00644D4E">
        <w:rPr>
          <w:rFonts w:ascii="Times New Roman" w:hAnsi="Times New Roman" w:cs="Times New Roman"/>
          <w:sz w:val="24"/>
          <w:szCs w:val="24"/>
          <w:lang w:val="ro-RO"/>
        </w:rPr>
        <w:t xml:space="preserve"> – tineri cu vârsta cuprinsă între 16</w:t>
      </w:r>
      <w:r w:rsidR="00D8704E" w:rsidRPr="00644D4E">
        <w:rPr>
          <w:rFonts w:ascii="Times New Roman" w:hAnsi="Times New Roman" w:cs="Times New Roman"/>
          <w:sz w:val="24"/>
          <w:szCs w:val="24"/>
          <w:lang w:val="ro-RO"/>
        </w:rPr>
        <w:t>-</w:t>
      </w:r>
      <w:r w:rsidR="009978AE" w:rsidRPr="00644D4E">
        <w:rPr>
          <w:rFonts w:ascii="Times New Roman" w:hAnsi="Times New Roman" w:cs="Times New Roman"/>
          <w:sz w:val="24"/>
          <w:szCs w:val="24"/>
          <w:lang w:val="ro-RO"/>
        </w:rPr>
        <w:t xml:space="preserve">18 </w:t>
      </w:r>
      <w:r w:rsidRPr="00644D4E">
        <w:rPr>
          <w:rFonts w:ascii="Times New Roman" w:hAnsi="Times New Roman" w:cs="Times New Roman"/>
          <w:sz w:val="24"/>
          <w:szCs w:val="24"/>
          <w:lang w:val="ro-RO"/>
        </w:rPr>
        <w:t xml:space="preserve">ani rămași fără </w:t>
      </w:r>
      <w:r w:rsidR="009978AE" w:rsidRPr="00644D4E">
        <w:rPr>
          <w:rFonts w:ascii="Times New Roman" w:hAnsi="Times New Roman" w:cs="Times New Roman"/>
          <w:sz w:val="24"/>
          <w:szCs w:val="24"/>
          <w:lang w:val="ro-RO"/>
        </w:rPr>
        <w:t>ocrotirea</w:t>
      </w:r>
      <w:r w:rsidRPr="00644D4E">
        <w:rPr>
          <w:rFonts w:ascii="Times New Roman" w:hAnsi="Times New Roman" w:cs="Times New Roman"/>
          <w:sz w:val="24"/>
          <w:szCs w:val="24"/>
          <w:lang w:val="ro-RO"/>
        </w:rPr>
        <w:t xml:space="preserve"> părinților</w:t>
      </w:r>
      <w:r w:rsidR="009978AE" w:rsidRPr="00644D4E">
        <w:rPr>
          <w:rFonts w:ascii="Times New Roman" w:hAnsi="Times New Roman" w:cs="Times New Roman"/>
          <w:sz w:val="24"/>
          <w:szCs w:val="24"/>
          <w:lang w:val="ro-RO"/>
        </w:rPr>
        <w:t>.</w:t>
      </w:r>
      <w:r w:rsidRPr="00644D4E">
        <w:rPr>
          <w:rFonts w:ascii="Times New Roman" w:hAnsi="Times New Roman" w:cs="Times New Roman"/>
          <w:sz w:val="24"/>
          <w:szCs w:val="24"/>
          <w:lang w:val="ro-RO"/>
        </w:rPr>
        <w:t xml:space="preserve"> </w:t>
      </w:r>
    </w:p>
    <w:p w14:paraId="0DB1C91D" w14:textId="496B35BA" w:rsidR="00C50972" w:rsidRPr="00644D4E" w:rsidRDefault="00C50972" w:rsidP="006C49E8">
      <w:pPr>
        <w:tabs>
          <w:tab w:val="left" w:pos="0"/>
          <w:tab w:val="left" w:leader="dot" w:pos="8505"/>
        </w:tabs>
        <w:autoSpaceDE w:val="0"/>
        <w:autoSpaceDN w:val="0"/>
        <w:adjustRightInd w:val="0"/>
        <w:spacing w:after="120" w:line="240" w:lineRule="auto"/>
        <w:jc w:val="both"/>
        <w:rPr>
          <w:rFonts w:ascii="Times New Roman" w:hAnsi="Times New Roman" w:cs="Times New Roman"/>
          <w:iCs/>
          <w:sz w:val="24"/>
          <w:szCs w:val="24"/>
          <w:lang w:val="ro-RO"/>
        </w:rPr>
      </w:pPr>
      <w:r w:rsidRPr="00644D4E">
        <w:rPr>
          <w:rFonts w:ascii="Times New Roman" w:hAnsi="Times New Roman" w:cs="Times New Roman"/>
          <w:b/>
          <w:iCs/>
          <w:sz w:val="24"/>
          <w:szCs w:val="24"/>
          <w:lang w:val="ro-RO"/>
        </w:rPr>
        <w:t>Suport pentru crearea/adaptarea locului de muncă</w:t>
      </w:r>
      <w:r w:rsidRPr="00644D4E">
        <w:rPr>
          <w:rFonts w:ascii="Times New Roman" w:hAnsi="Times New Roman" w:cs="Times New Roman"/>
          <w:iCs/>
          <w:sz w:val="24"/>
          <w:szCs w:val="24"/>
          <w:lang w:val="ro-RO"/>
        </w:rPr>
        <w:t xml:space="preserve">. Conform Legii </w:t>
      </w:r>
      <w:r w:rsidR="00EE547C" w:rsidRPr="00644D4E">
        <w:rPr>
          <w:rFonts w:ascii="Times New Roman" w:hAnsi="Times New Roman" w:cs="Times New Roman"/>
          <w:iCs/>
          <w:sz w:val="24"/>
          <w:szCs w:val="24"/>
          <w:lang w:val="ro-RO"/>
        </w:rPr>
        <w:t xml:space="preserve">nr. </w:t>
      </w:r>
      <w:r w:rsidRPr="00644D4E">
        <w:rPr>
          <w:rFonts w:ascii="Times New Roman" w:hAnsi="Times New Roman" w:cs="Times New Roman"/>
          <w:iCs/>
          <w:sz w:val="24"/>
          <w:szCs w:val="24"/>
          <w:lang w:val="ro-RO"/>
        </w:rPr>
        <w:t>105/2018, angajatorii și șomerii care creează sau adaptează locuri de muncă pot beneficia de suport din partea STOF</w:t>
      </w:r>
      <w:r w:rsidR="00DC5F48" w:rsidRPr="00644D4E">
        <w:rPr>
          <w:rFonts w:ascii="Times New Roman" w:hAnsi="Times New Roman" w:cs="Times New Roman"/>
          <w:iCs/>
          <w:sz w:val="24"/>
          <w:szCs w:val="24"/>
          <w:lang w:val="ro-RO"/>
        </w:rPr>
        <w:t>M</w:t>
      </w:r>
      <w:r w:rsidRPr="00644D4E">
        <w:rPr>
          <w:rFonts w:ascii="Times New Roman" w:hAnsi="Times New Roman" w:cs="Times New Roman"/>
          <w:iCs/>
          <w:sz w:val="24"/>
          <w:szCs w:val="24"/>
          <w:lang w:val="ro-RO"/>
        </w:rPr>
        <w:t>, care constă în:</w:t>
      </w:r>
    </w:p>
    <w:p w14:paraId="787D25B0" w14:textId="30F8F64A" w:rsidR="00C50972" w:rsidRPr="00644D4E" w:rsidRDefault="00C50972" w:rsidP="006C49E8">
      <w:pPr>
        <w:pStyle w:val="NoSpacing"/>
        <w:spacing w:after="120"/>
        <w:jc w:val="both"/>
        <w:rPr>
          <w:rFonts w:ascii="Times New Roman" w:hAnsi="Times New Roman" w:cs="Times New Roman"/>
          <w:b/>
          <w:sz w:val="24"/>
          <w:szCs w:val="24"/>
          <w:lang w:val="ro-RO"/>
        </w:rPr>
      </w:pPr>
      <w:r w:rsidRPr="00644D4E">
        <w:rPr>
          <w:rFonts w:ascii="Times New Roman" w:hAnsi="Times New Roman" w:cs="Times New Roman"/>
          <w:b/>
          <w:i/>
          <w:iCs/>
          <w:sz w:val="24"/>
          <w:szCs w:val="24"/>
          <w:lang w:val="ro-RO"/>
        </w:rPr>
        <w:t>1. Subvenții acordate pentru crearea sau adaptarea locului de muncă pentru persoanele cu dizabilități</w:t>
      </w:r>
      <w:r w:rsidR="00BE2BB2" w:rsidRPr="00644D4E">
        <w:rPr>
          <w:rFonts w:ascii="Times New Roman" w:hAnsi="Times New Roman" w:cs="Times New Roman"/>
          <w:iCs/>
          <w:sz w:val="24"/>
          <w:szCs w:val="24"/>
          <w:lang w:val="ro-RO"/>
        </w:rPr>
        <w:t xml:space="preserve"> </w:t>
      </w:r>
      <w:r w:rsidR="004812A2" w:rsidRPr="00644D4E">
        <w:rPr>
          <w:rFonts w:ascii="Times New Roman" w:hAnsi="Times New Roman" w:cs="Times New Roman"/>
          <w:i/>
          <w:sz w:val="24"/>
          <w:szCs w:val="24"/>
          <w:lang w:val="ro-RO"/>
        </w:rPr>
        <w:t>(art.</w:t>
      </w:r>
      <w:r w:rsidR="00EE547C" w:rsidRPr="00644D4E">
        <w:rPr>
          <w:rFonts w:ascii="Times New Roman" w:hAnsi="Times New Roman" w:cs="Times New Roman"/>
          <w:i/>
          <w:sz w:val="24"/>
          <w:szCs w:val="24"/>
          <w:lang w:val="ro-RO"/>
        </w:rPr>
        <w:t xml:space="preserve"> </w:t>
      </w:r>
      <w:r w:rsidR="004812A2" w:rsidRPr="00644D4E">
        <w:rPr>
          <w:rFonts w:ascii="Times New Roman" w:hAnsi="Times New Roman" w:cs="Times New Roman"/>
          <w:i/>
          <w:sz w:val="24"/>
          <w:szCs w:val="24"/>
          <w:lang w:val="ro-RO"/>
        </w:rPr>
        <w:t>38)</w:t>
      </w:r>
      <w:r w:rsidR="00BE2BB2" w:rsidRPr="00644D4E">
        <w:rPr>
          <w:rFonts w:ascii="Times New Roman" w:hAnsi="Times New Roman" w:cs="Times New Roman"/>
          <w:sz w:val="24"/>
          <w:szCs w:val="24"/>
          <w:lang w:val="ro-RO"/>
        </w:rPr>
        <w:t>.</w:t>
      </w:r>
      <w:r w:rsidR="004812A2" w:rsidRPr="00644D4E">
        <w:rPr>
          <w:rFonts w:ascii="Times New Roman" w:hAnsi="Times New Roman" w:cs="Times New Roman"/>
          <w:sz w:val="24"/>
          <w:szCs w:val="24"/>
          <w:lang w:val="ro-RO"/>
        </w:rPr>
        <w:t xml:space="preserve"> Aceasta este adresată angajatorilor și se realizează prin compensarea parțială a costurilor de creare/adaptare a locurilor de muncă pentru persoanele cu dizabilități. Pe parcursul anului 202</w:t>
      </w:r>
      <w:r w:rsidR="00F51D8E" w:rsidRPr="00644D4E">
        <w:rPr>
          <w:rFonts w:ascii="Times New Roman" w:hAnsi="Times New Roman" w:cs="Times New Roman"/>
          <w:sz w:val="24"/>
          <w:szCs w:val="24"/>
          <w:lang w:val="ro-RO"/>
        </w:rPr>
        <w:t>3</w:t>
      </w:r>
      <w:r w:rsidR="004812A2" w:rsidRPr="00644D4E">
        <w:rPr>
          <w:rFonts w:ascii="Times New Roman" w:hAnsi="Times New Roman" w:cs="Times New Roman"/>
          <w:sz w:val="24"/>
          <w:szCs w:val="24"/>
          <w:lang w:val="ro-RO"/>
        </w:rPr>
        <w:t xml:space="preserve"> la subdiviziunile teritoriale pentru ocuparea forței de muncă ale ANOFM au fost înregistrate </w:t>
      </w:r>
      <w:r w:rsidR="004812A2" w:rsidRPr="00644D4E">
        <w:rPr>
          <w:rFonts w:ascii="Times New Roman" w:hAnsi="Times New Roman" w:cs="Times New Roman"/>
          <w:b/>
          <w:sz w:val="24"/>
          <w:szCs w:val="24"/>
          <w:lang w:val="ro-RO"/>
        </w:rPr>
        <w:t>5</w:t>
      </w:r>
      <w:r w:rsidR="004812A2" w:rsidRPr="00644D4E">
        <w:rPr>
          <w:rFonts w:ascii="Times New Roman" w:hAnsi="Times New Roman" w:cs="Times New Roman"/>
          <w:sz w:val="24"/>
          <w:szCs w:val="24"/>
          <w:lang w:val="ro-RO"/>
        </w:rPr>
        <w:t xml:space="preserve"> cereri depuse de angajatori pentru subvenționarea creării locurilor de muncă. Au fost emise </w:t>
      </w:r>
      <w:r w:rsidR="00F51D8E" w:rsidRPr="00644D4E">
        <w:rPr>
          <w:rFonts w:ascii="Times New Roman" w:hAnsi="Times New Roman" w:cs="Times New Roman"/>
          <w:b/>
          <w:sz w:val="24"/>
          <w:szCs w:val="24"/>
          <w:lang w:val="ro-RO"/>
        </w:rPr>
        <w:t>5</w:t>
      </w:r>
      <w:r w:rsidR="004812A2" w:rsidRPr="00644D4E">
        <w:rPr>
          <w:rFonts w:ascii="Times New Roman" w:hAnsi="Times New Roman" w:cs="Times New Roman"/>
          <w:sz w:val="24"/>
          <w:szCs w:val="24"/>
          <w:lang w:val="ro-RO"/>
        </w:rPr>
        <w:t xml:space="preserve"> decizii cu privire la acordarea subvenției pentru crearea locurilor de muncă pentru persoane cu dizabilități. În total au beneficiat de subvenții </w:t>
      </w:r>
      <w:r w:rsidR="00F51D8E" w:rsidRPr="00644D4E">
        <w:rPr>
          <w:rFonts w:ascii="Times New Roman" w:hAnsi="Times New Roman" w:cs="Times New Roman"/>
          <w:b/>
          <w:sz w:val="24"/>
          <w:szCs w:val="24"/>
          <w:lang w:val="ro-RO"/>
        </w:rPr>
        <w:t>4</w:t>
      </w:r>
      <w:r w:rsidR="004812A2" w:rsidRPr="00644D4E">
        <w:rPr>
          <w:rFonts w:ascii="Times New Roman" w:hAnsi="Times New Roman" w:cs="Times New Roman"/>
          <w:sz w:val="24"/>
          <w:szCs w:val="24"/>
          <w:lang w:val="ro-RO"/>
        </w:rPr>
        <w:t xml:space="preserve"> angajatori, pentru crearea a </w:t>
      </w:r>
      <w:r w:rsidR="004812A2" w:rsidRPr="00644D4E">
        <w:rPr>
          <w:rFonts w:ascii="Times New Roman" w:hAnsi="Times New Roman" w:cs="Times New Roman"/>
          <w:b/>
          <w:sz w:val="24"/>
          <w:szCs w:val="24"/>
          <w:lang w:val="ro-RO"/>
        </w:rPr>
        <w:t>5</w:t>
      </w:r>
      <w:r w:rsidR="004812A2" w:rsidRPr="00644D4E">
        <w:rPr>
          <w:rFonts w:ascii="Times New Roman" w:hAnsi="Times New Roman" w:cs="Times New Roman"/>
          <w:sz w:val="24"/>
          <w:szCs w:val="24"/>
          <w:lang w:val="ro-RO"/>
        </w:rPr>
        <w:t xml:space="preserve"> locuri de muncă la care au fost angajate </w:t>
      </w:r>
      <w:r w:rsidR="004812A2" w:rsidRPr="00644D4E">
        <w:rPr>
          <w:rFonts w:ascii="Times New Roman" w:hAnsi="Times New Roman" w:cs="Times New Roman"/>
          <w:b/>
          <w:sz w:val="24"/>
          <w:szCs w:val="24"/>
          <w:lang w:val="ro-RO"/>
        </w:rPr>
        <w:t>5</w:t>
      </w:r>
      <w:r w:rsidR="004812A2" w:rsidRPr="00644D4E">
        <w:rPr>
          <w:rFonts w:ascii="Times New Roman" w:hAnsi="Times New Roman" w:cs="Times New Roman"/>
          <w:sz w:val="24"/>
          <w:szCs w:val="24"/>
          <w:lang w:val="ro-RO"/>
        </w:rPr>
        <w:t xml:space="preserve"> persoane cu dizabilități (</w:t>
      </w:r>
      <w:r w:rsidR="00F51D8E" w:rsidRPr="00644D4E">
        <w:rPr>
          <w:rFonts w:ascii="Times New Roman" w:hAnsi="Times New Roman" w:cs="Times New Roman"/>
          <w:sz w:val="24"/>
          <w:szCs w:val="24"/>
          <w:lang w:val="ro-RO"/>
        </w:rPr>
        <w:t>2</w:t>
      </w:r>
      <w:r w:rsidR="004812A2" w:rsidRPr="00644D4E">
        <w:rPr>
          <w:rFonts w:ascii="Times New Roman" w:hAnsi="Times New Roman" w:cs="Times New Roman"/>
          <w:sz w:val="24"/>
          <w:szCs w:val="24"/>
          <w:lang w:val="ro-RO"/>
        </w:rPr>
        <w:t xml:space="preserve"> bărbați și </w:t>
      </w:r>
      <w:r w:rsidR="00F51D8E" w:rsidRPr="00644D4E">
        <w:rPr>
          <w:rFonts w:ascii="Times New Roman" w:hAnsi="Times New Roman" w:cs="Times New Roman"/>
          <w:sz w:val="24"/>
          <w:szCs w:val="24"/>
          <w:lang w:val="ro-RO"/>
        </w:rPr>
        <w:t>3</w:t>
      </w:r>
      <w:r w:rsidR="004812A2" w:rsidRPr="00644D4E">
        <w:rPr>
          <w:rFonts w:ascii="Times New Roman" w:hAnsi="Times New Roman" w:cs="Times New Roman"/>
          <w:sz w:val="24"/>
          <w:szCs w:val="24"/>
          <w:lang w:val="ro-RO"/>
        </w:rPr>
        <w:t xml:space="preserve"> femei). Persoanele au fost angajate la locurile de muncă create în calitate de </w:t>
      </w:r>
      <w:r w:rsidR="00F51D8E" w:rsidRPr="00644D4E">
        <w:rPr>
          <w:rFonts w:ascii="Times New Roman" w:hAnsi="Times New Roman" w:cs="Times New Roman"/>
          <w:sz w:val="24"/>
          <w:szCs w:val="24"/>
          <w:lang w:val="ro-RO"/>
        </w:rPr>
        <w:t>finisor/finisoare articole finite în confecții</w:t>
      </w:r>
      <w:r w:rsidR="004812A2" w:rsidRPr="00644D4E">
        <w:rPr>
          <w:rFonts w:ascii="Times New Roman" w:hAnsi="Times New Roman" w:cs="Times New Roman"/>
          <w:sz w:val="24"/>
          <w:szCs w:val="24"/>
          <w:lang w:val="ro-RO"/>
        </w:rPr>
        <w:t xml:space="preserve">, </w:t>
      </w:r>
      <w:r w:rsidR="00F51D8E" w:rsidRPr="00644D4E">
        <w:rPr>
          <w:rFonts w:ascii="Times New Roman" w:hAnsi="Times New Roman" w:cs="Times New Roman"/>
          <w:sz w:val="24"/>
          <w:szCs w:val="24"/>
          <w:lang w:val="ro-RO"/>
        </w:rPr>
        <w:t>spălător/spălătoreasă vase/</w:t>
      </w:r>
      <w:proofErr w:type="spellStart"/>
      <w:r w:rsidR="00F51D8E" w:rsidRPr="00644D4E">
        <w:rPr>
          <w:rFonts w:ascii="Times New Roman" w:hAnsi="Times New Roman" w:cs="Times New Roman"/>
          <w:sz w:val="24"/>
          <w:szCs w:val="24"/>
          <w:lang w:val="ro-RO"/>
        </w:rPr>
        <w:t>veslă</w:t>
      </w:r>
      <w:proofErr w:type="spellEnd"/>
      <w:r w:rsidR="00F51D8E" w:rsidRPr="00644D4E">
        <w:rPr>
          <w:rFonts w:ascii="Times New Roman" w:hAnsi="Times New Roman" w:cs="Times New Roman"/>
          <w:sz w:val="24"/>
          <w:szCs w:val="24"/>
          <w:lang w:val="ro-RO"/>
        </w:rPr>
        <w:t xml:space="preserve">, </w:t>
      </w:r>
      <w:proofErr w:type="spellStart"/>
      <w:r w:rsidR="00F51D8E" w:rsidRPr="00644D4E">
        <w:rPr>
          <w:rFonts w:ascii="Times New Roman" w:hAnsi="Times New Roman" w:cs="Times New Roman"/>
          <w:sz w:val="24"/>
          <w:szCs w:val="24"/>
          <w:lang w:val="ro-RO"/>
        </w:rPr>
        <w:t>electrogazosudor</w:t>
      </w:r>
      <w:proofErr w:type="spellEnd"/>
      <w:r w:rsidR="00F51D8E" w:rsidRPr="00644D4E">
        <w:rPr>
          <w:rFonts w:ascii="Times New Roman" w:hAnsi="Times New Roman" w:cs="Times New Roman"/>
          <w:sz w:val="24"/>
          <w:szCs w:val="24"/>
          <w:lang w:val="ro-RO"/>
        </w:rPr>
        <w:t>-montator, ajutor</w:t>
      </w:r>
      <w:r w:rsidR="00FD1FFA" w:rsidRPr="00644D4E">
        <w:rPr>
          <w:rFonts w:ascii="Times New Roman" w:hAnsi="Times New Roman" w:cs="Times New Roman"/>
          <w:sz w:val="24"/>
          <w:szCs w:val="24"/>
          <w:lang w:val="ro-RO"/>
        </w:rPr>
        <w:t>/ajutoare</w:t>
      </w:r>
      <w:r w:rsidR="00F51D8E" w:rsidRPr="00644D4E">
        <w:rPr>
          <w:rFonts w:ascii="Times New Roman" w:hAnsi="Times New Roman" w:cs="Times New Roman"/>
          <w:sz w:val="24"/>
          <w:szCs w:val="24"/>
          <w:lang w:val="ro-RO"/>
        </w:rPr>
        <w:t xml:space="preserve"> de bucătar/bucătăreasă, </w:t>
      </w:r>
      <w:r w:rsidR="00FD1FFA" w:rsidRPr="00644D4E">
        <w:rPr>
          <w:rFonts w:ascii="Times New Roman" w:hAnsi="Times New Roman" w:cs="Times New Roman"/>
          <w:b/>
          <w:sz w:val="24"/>
          <w:szCs w:val="24"/>
          <w:lang w:val="ro-RO"/>
        </w:rPr>
        <w:t>2</w:t>
      </w:r>
      <w:r w:rsidR="004812A2" w:rsidRPr="00644D4E">
        <w:rPr>
          <w:rFonts w:ascii="Times New Roman" w:hAnsi="Times New Roman" w:cs="Times New Roman"/>
          <w:sz w:val="24"/>
          <w:szCs w:val="24"/>
          <w:lang w:val="ro-RO"/>
        </w:rPr>
        <w:t xml:space="preserve"> persoane erau încadrate în gradul de dizabilitate medie (gr. III)</w:t>
      </w:r>
      <w:r w:rsidR="004E5E38" w:rsidRPr="00644D4E">
        <w:rPr>
          <w:rFonts w:ascii="Times New Roman" w:hAnsi="Times New Roman" w:cs="Times New Roman"/>
          <w:sz w:val="24"/>
          <w:szCs w:val="24"/>
          <w:lang w:val="ro-RO"/>
        </w:rPr>
        <w:t xml:space="preserve"> și</w:t>
      </w:r>
      <w:r w:rsidR="004812A2" w:rsidRPr="00644D4E">
        <w:rPr>
          <w:rFonts w:ascii="Times New Roman" w:hAnsi="Times New Roman" w:cs="Times New Roman"/>
          <w:sz w:val="24"/>
          <w:szCs w:val="24"/>
          <w:lang w:val="ro-RO"/>
        </w:rPr>
        <w:t xml:space="preserve"> </w:t>
      </w:r>
      <w:r w:rsidR="00FD1FFA" w:rsidRPr="00644D4E">
        <w:rPr>
          <w:rFonts w:ascii="Times New Roman" w:hAnsi="Times New Roman" w:cs="Times New Roman"/>
          <w:sz w:val="24"/>
          <w:szCs w:val="24"/>
          <w:lang w:val="ro-RO"/>
        </w:rPr>
        <w:t>4</w:t>
      </w:r>
      <w:r w:rsidR="004812A2" w:rsidRPr="00644D4E">
        <w:rPr>
          <w:rFonts w:ascii="Times New Roman" w:hAnsi="Times New Roman" w:cs="Times New Roman"/>
          <w:sz w:val="24"/>
          <w:szCs w:val="24"/>
          <w:lang w:val="ro-RO"/>
        </w:rPr>
        <w:t xml:space="preserve"> persoan</w:t>
      </w:r>
      <w:r w:rsidR="00FD1FFA" w:rsidRPr="00644D4E">
        <w:rPr>
          <w:rFonts w:ascii="Times New Roman" w:hAnsi="Times New Roman" w:cs="Times New Roman"/>
          <w:sz w:val="24"/>
          <w:szCs w:val="24"/>
          <w:lang w:val="ro-RO"/>
        </w:rPr>
        <w:t>e</w:t>
      </w:r>
      <w:r w:rsidR="004812A2" w:rsidRPr="00644D4E">
        <w:rPr>
          <w:rFonts w:ascii="Times New Roman" w:hAnsi="Times New Roman" w:cs="Times New Roman"/>
          <w:sz w:val="24"/>
          <w:szCs w:val="24"/>
          <w:lang w:val="ro-RO"/>
        </w:rPr>
        <w:t xml:space="preserve"> în gradul de dizabilitate accentuată (gr. II)</w:t>
      </w:r>
      <w:r w:rsidR="00FD1FFA" w:rsidRPr="00644D4E">
        <w:rPr>
          <w:rFonts w:ascii="Times New Roman" w:hAnsi="Times New Roman" w:cs="Times New Roman"/>
          <w:sz w:val="24"/>
          <w:szCs w:val="24"/>
          <w:lang w:val="ro-RO"/>
        </w:rPr>
        <w:t>.</w:t>
      </w:r>
      <w:r w:rsidR="004812A2" w:rsidRPr="00644D4E">
        <w:rPr>
          <w:rFonts w:ascii="Times New Roman" w:hAnsi="Times New Roman" w:cs="Times New Roman"/>
          <w:sz w:val="24"/>
          <w:szCs w:val="24"/>
          <w:lang w:val="ro-RO"/>
        </w:rPr>
        <w:t xml:space="preserve"> Locurile de muncă au fost subvenționate de către subdiviziunile teritoriale pentru ocuparea forței de muncă din Cantemir (2 locuri), Bălți (1 loc), Chișinău (1 loc)</w:t>
      </w:r>
      <w:r w:rsidR="004E5E38" w:rsidRPr="00644D4E">
        <w:rPr>
          <w:rFonts w:ascii="Times New Roman" w:hAnsi="Times New Roman" w:cs="Times New Roman"/>
          <w:sz w:val="24"/>
          <w:szCs w:val="24"/>
          <w:lang w:val="ro-RO"/>
        </w:rPr>
        <w:t>,</w:t>
      </w:r>
      <w:r w:rsidR="004812A2" w:rsidRPr="00644D4E">
        <w:rPr>
          <w:rFonts w:ascii="Times New Roman" w:hAnsi="Times New Roman" w:cs="Times New Roman"/>
          <w:sz w:val="24"/>
          <w:szCs w:val="24"/>
          <w:lang w:val="ro-RO"/>
        </w:rPr>
        <w:t xml:space="preserve"> </w:t>
      </w:r>
      <w:r w:rsidR="004E5E38" w:rsidRPr="00644D4E">
        <w:rPr>
          <w:rFonts w:ascii="Times New Roman" w:hAnsi="Times New Roman" w:cs="Times New Roman"/>
          <w:sz w:val="24"/>
          <w:szCs w:val="24"/>
          <w:lang w:val="ro-RO"/>
        </w:rPr>
        <w:t>Anenii Noi</w:t>
      </w:r>
      <w:r w:rsidR="004812A2" w:rsidRPr="00644D4E">
        <w:rPr>
          <w:rFonts w:ascii="Times New Roman" w:hAnsi="Times New Roman" w:cs="Times New Roman"/>
          <w:sz w:val="24"/>
          <w:szCs w:val="24"/>
          <w:lang w:val="ro-RO"/>
        </w:rPr>
        <w:t xml:space="preserve"> (1 loc)</w:t>
      </w:r>
      <w:r w:rsidR="004E5E38" w:rsidRPr="00644D4E">
        <w:rPr>
          <w:rFonts w:ascii="Times New Roman" w:hAnsi="Times New Roman" w:cs="Times New Roman"/>
          <w:sz w:val="24"/>
          <w:szCs w:val="24"/>
          <w:lang w:val="ro-RO"/>
        </w:rPr>
        <w:t xml:space="preserve"> și Cahul (1 loc adaptat)</w:t>
      </w:r>
      <w:r w:rsidR="004812A2" w:rsidRPr="00644D4E">
        <w:rPr>
          <w:rFonts w:ascii="Times New Roman" w:hAnsi="Times New Roman" w:cs="Times New Roman"/>
          <w:sz w:val="24"/>
          <w:szCs w:val="24"/>
          <w:lang w:val="ro-RO"/>
        </w:rPr>
        <w:t>.</w:t>
      </w:r>
    </w:p>
    <w:p w14:paraId="741BCE11" w14:textId="69D1EC7F" w:rsidR="00C50972" w:rsidRPr="00644D4E" w:rsidRDefault="00C50972" w:rsidP="006C49E8">
      <w:pPr>
        <w:pStyle w:val="NoSpacing"/>
        <w:spacing w:after="120"/>
        <w:jc w:val="both"/>
        <w:rPr>
          <w:rFonts w:ascii="Times New Roman" w:hAnsi="Times New Roman" w:cs="Times New Roman"/>
          <w:iCs/>
          <w:sz w:val="24"/>
          <w:szCs w:val="24"/>
          <w:lang w:val="ro-RO"/>
        </w:rPr>
      </w:pPr>
      <w:r w:rsidRPr="00644D4E">
        <w:rPr>
          <w:rFonts w:ascii="Times New Roman" w:hAnsi="Times New Roman" w:cs="Times New Roman"/>
          <w:b/>
          <w:iCs/>
          <w:sz w:val="24"/>
          <w:szCs w:val="24"/>
          <w:lang w:val="ro-RO"/>
        </w:rPr>
        <w:t>3.</w:t>
      </w:r>
      <w:r w:rsidRPr="00644D4E">
        <w:rPr>
          <w:rFonts w:ascii="Times New Roman" w:hAnsi="Times New Roman" w:cs="Times New Roman"/>
          <w:b/>
          <w:i/>
          <w:iCs/>
          <w:sz w:val="24"/>
          <w:szCs w:val="24"/>
          <w:lang w:val="ro-RO"/>
        </w:rPr>
        <w:t xml:space="preserve"> Susținerea proiectelor de inițiative locale</w:t>
      </w:r>
      <w:r w:rsidRPr="00644D4E">
        <w:rPr>
          <w:rFonts w:ascii="Times New Roman" w:hAnsi="Times New Roman" w:cs="Times New Roman"/>
          <w:iCs/>
          <w:sz w:val="24"/>
          <w:szCs w:val="24"/>
          <w:lang w:val="ro-RO"/>
        </w:rPr>
        <w:t xml:space="preserve"> (art.</w:t>
      </w:r>
      <w:r w:rsidR="00EE547C" w:rsidRPr="00644D4E">
        <w:rPr>
          <w:rFonts w:ascii="Times New Roman" w:hAnsi="Times New Roman" w:cs="Times New Roman"/>
          <w:iCs/>
          <w:sz w:val="24"/>
          <w:szCs w:val="24"/>
          <w:lang w:val="ro-RO"/>
        </w:rPr>
        <w:t xml:space="preserve"> </w:t>
      </w:r>
      <w:r w:rsidRPr="00644D4E">
        <w:rPr>
          <w:rFonts w:ascii="Times New Roman" w:hAnsi="Times New Roman" w:cs="Times New Roman"/>
          <w:iCs/>
          <w:sz w:val="24"/>
          <w:szCs w:val="24"/>
          <w:lang w:val="ro-RO"/>
        </w:rPr>
        <w:t>40)</w:t>
      </w:r>
      <w:r w:rsidR="00DD12C3" w:rsidRPr="00644D4E">
        <w:rPr>
          <w:rFonts w:ascii="Times New Roman" w:hAnsi="Times New Roman" w:cs="Times New Roman"/>
          <w:iCs/>
          <w:sz w:val="24"/>
          <w:szCs w:val="24"/>
          <w:lang w:val="ro-RO"/>
        </w:rPr>
        <w:t>.</w:t>
      </w:r>
      <w:r w:rsidRPr="00644D4E">
        <w:rPr>
          <w:rFonts w:ascii="Times New Roman" w:hAnsi="Times New Roman" w:cs="Times New Roman"/>
          <w:iCs/>
          <w:sz w:val="24"/>
          <w:szCs w:val="24"/>
          <w:lang w:val="ro-RO"/>
        </w:rPr>
        <w:t xml:space="preserve"> </w:t>
      </w:r>
      <w:r w:rsidR="00DD12C3" w:rsidRPr="00644D4E">
        <w:rPr>
          <w:rFonts w:ascii="Times New Roman" w:hAnsi="Times New Roman" w:cs="Times New Roman"/>
          <w:sz w:val="24"/>
          <w:szCs w:val="24"/>
          <w:lang w:val="ro-RO"/>
        </w:rPr>
        <w:t xml:space="preserve">În perioada de raportare s-au acordat subvenții pentru stimularea creării locurilor de muncă în mediul rural pentru </w:t>
      </w:r>
      <w:r w:rsidR="00711AA1" w:rsidRPr="00644D4E">
        <w:rPr>
          <w:rFonts w:ascii="Times New Roman" w:hAnsi="Times New Roman" w:cs="Times New Roman"/>
          <w:b/>
          <w:sz w:val="24"/>
          <w:szCs w:val="24"/>
          <w:lang w:val="ro-RO"/>
        </w:rPr>
        <w:t>75</w:t>
      </w:r>
      <w:r w:rsidR="00DD12C3" w:rsidRPr="00644D4E">
        <w:rPr>
          <w:rFonts w:ascii="Times New Roman" w:hAnsi="Times New Roman" w:cs="Times New Roman"/>
          <w:sz w:val="24"/>
          <w:szCs w:val="24"/>
          <w:lang w:val="ro-RO"/>
        </w:rPr>
        <w:t xml:space="preserve"> angajatori. Cei mai mulți beneficiari de subvenții oferite pentru inițiativele locale au fost identificați de STOFM Anenii Noi </w:t>
      </w:r>
      <w:r w:rsidR="00711AA1" w:rsidRPr="00644D4E">
        <w:rPr>
          <w:rFonts w:ascii="Times New Roman" w:hAnsi="Times New Roman" w:cs="Times New Roman"/>
          <w:sz w:val="24"/>
          <w:szCs w:val="24"/>
          <w:lang w:val="ro-RO"/>
        </w:rPr>
        <w:t xml:space="preserve">– 15 beneficiari, </w:t>
      </w:r>
      <w:r w:rsidR="00DD12C3" w:rsidRPr="00644D4E">
        <w:rPr>
          <w:rFonts w:ascii="Times New Roman" w:hAnsi="Times New Roman" w:cs="Times New Roman"/>
          <w:sz w:val="24"/>
          <w:szCs w:val="24"/>
          <w:lang w:val="ro-RO"/>
        </w:rPr>
        <w:t xml:space="preserve">Dubăsari </w:t>
      </w:r>
      <w:r w:rsidR="00711AA1" w:rsidRPr="00644D4E">
        <w:rPr>
          <w:rFonts w:ascii="Times New Roman" w:hAnsi="Times New Roman" w:cs="Times New Roman"/>
          <w:sz w:val="24"/>
          <w:szCs w:val="24"/>
          <w:lang w:val="ro-RO"/>
        </w:rPr>
        <w:t xml:space="preserve">– 8 beneficiari și Cantemir – 6 beneficiari. </w:t>
      </w:r>
      <w:r w:rsidR="00DD12C3" w:rsidRPr="00644D4E">
        <w:rPr>
          <w:rFonts w:ascii="Times New Roman" w:hAnsi="Times New Roman" w:cs="Times New Roman"/>
          <w:sz w:val="24"/>
          <w:szCs w:val="24"/>
          <w:lang w:val="ro-RO"/>
        </w:rPr>
        <w:t xml:space="preserve">Urmare a acordării subvențiilor pentru cei </w:t>
      </w:r>
      <w:r w:rsidR="00711AA1" w:rsidRPr="00644D4E">
        <w:rPr>
          <w:rFonts w:ascii="Times New Roman" w:hAnsi="Times New Roman" w:cs="Times New Roman"/>
          <w:sz w:val="24"/>
          <w:szCs w:val="24"/>
          <w:lang w:val="ro-RO"/>
        </w:rPr>
        <w:t>75</w:t>
      </w:r>
      <w:r w:rsidR="00DD12C3" w:rsidRPr="00644D4E">
        <w:rPr>
          <w:rFonts w:ascii="Times New Roman" w:hAnsi="Times New Roman" w:cs="Times New Roman"/>
          <w:sz w:val="24"/>
          <w:szCs w:val="24"/>
          <w:lang w:val="ro-RO"/>
        </w:rPr>
        <w:t xml:space="preserve"> angajatori, au fost create în total </w:t>
      </w:r>
      <w:r w:rsidR="00711AA1" w:rsidRPr="00644D4E">
        <w:rPr>
          <w:rFonts w:ascii="Times New Roman" w:hAnsi="Times New Roman" w:cs="Times New Roman"/>
          <w:sz w:val="24"/>
          <w:szCs w:val="24"/>
          <w:lang w:val="ro-RO"/>
        </w:rPr>
        <w:t>113</w:t>
      </w:r>
      <w:r w:rsidR="00DD12C3" w:rsidRPr="00644D4E">
        <w:rPr>
          <w:rFonts w:ascii="Times New Roman" w:hAnsi="Times New Roman" w:cs="Times New Roman"/>
          <w:sz w:val="24"/>
          <w:szCs w:val="24"/>
          <w:lang w:val="ro-RO"/>
        </w:rPr>
        <w:t xml:space="preserve"> locuri de muncă </w:t>
      </w:r>
      <w:r w:rsidR="00711AA1" w:rsidRPr="00644D4E">
        <w:rPr>
          <w:rFonts w:ascii="Times New Roman" w:hAnsi="Times New Roman" w:cs="Times New Roman"/>
          <w:sz w:val="24"/>
          <w:szCs w:val="24"/>
          <w:lang w:val="ro-RO"/>
        </w:rPr>
        <w:t xml:space="preserve">noi </w:t>
      </w:r>
      <w:r w:rsidR="00DD12C3" w:rsidRPr="00644D4E">
        <w:rPr>
          <w:rFonts w:ascii="Times New Roman" w:hAnsi="Times New Roman" w:cs="Times New Roman"/>
          <w:sz w:val="24"/>
          <w:szCs w:val="24"/>
          <w:lang w:val="ro-RO"/>
        </w:rPr>
        <w:t xml:space="preserve">în mediul rural la care au fost selectate și angajate </w:t>
      </w:r>
      <w:r w:rsidR="00711AA1" w:rsidRPr="00644D4E">
        <w:rPr>
          <w:rFonts w:ascii="Times New Roman" w:hAnsi="Times New Roman" w:cs="Times New Roman"/>
          <w:sz w:val="24"/>
          <w:szCs w:val="24"/>
          <w:lang w:val="ro-RO"/>
        </w:rPr>
        <w:t>113</w:t>
      </w:r>
      <w:r w:rsidR="00DD12C3" w:rsidRPr="00644D4E">
        <w:rPr>
          <w:rFonts w:ascii="Times New Roman" w:hAnsi="Times New Roman" w:cs="Times New Roman"/>
          <w:sz w:val="24"/>
          <w:szCs w:val="24"/>
          <w:lang w:val="ro-RO"/>
        </w:rPr>
        <w:t xml:space="preserve"> persoane cu statut de șomer. </w:t>
      </w:r>
    </w:p>
    <w:p w14:paraId="69BD4933" w14:textId="77777777" w:rsidR="00711AA1" w:rsidRPr="00644D4E" w:rsidRDefault="00C50972" w:rsidP="00781A16">
      <w:pPr>
        <w:pStyle w:val="NoSpacing"/>
        <w:spacing w:after="120"/>
        <w:ind w:right="-112"/>
        <w:jc w:val="both"/>
        <w:rPr>
          <w:rFonts w:ascii="Times New Roman" w:hAnsi="Times New Roman" w:cs="Times New Roman"/>
          <w:sz w:val="24"/>
          <w:szCs w:val="24"/>
          <w:lang w:val="ro-RO"/>
        </w:rPr>
      </w:pPr>
      <w:r w:rsidRPr="00644D4E">
        <w:rPr>
          <w:rFonts w:ascii="Times New Roman" w:hAnsi="Times New Roman" w:cs="Times New Roman"/>
          <w:b/>
          <w:sz w:val="24"/>
          <w:szCs w:val="24"/>
          <w:lang w:val="ro-RO"/>
        </w:rPr>
        <w:t xml:space="preserve">4. </w:t>
      </w:r>
      <w:r w:rsidRPr="00644D4E">
        <w:rPr>
          <w:rFonts w:ascii="Times New Roman" w:hAnsi="Times New Roman" w:cs="Times New Roman"/>
          <w:b/>
          <w:i/>
          <w:sz w:val="24"/>
          <w:szCs w:val="24"/>
          <w:lang w:val="ro-RO"/>
        </w:rPr>
        <w:t xml:space="preserve">Stimularea mobilității forței de muncă. </w:t>
      </w:r>
      <w:r w:rsidR="00781A16" w:rsidRPr="00644D4E">
        <w:rPr>
          <w:rFonts w:ascii="Times New Roman" w:hAnsi="Times New Roman" w:cs="Times New Roman"/>
          <w:sz w:val="24"/>
          <w:szCs w:val="24"/>
          <w:lang w:val="ro-RO"/>
        </w:rPr>
        <w:t>Pe parcursul anului 202</w:t>
      </w:r>
      <w:r w:rsidR="00711AA1" w:rsidRPr="00644D4E">
        <w:rPr>
          <w:rFonts w:ascii="Times New Roman" w:hAnsi="Times New Roman" w:cs="Times New Roman"/>
          <w:sz w:val="24"/>
          <w:szCs w:val="24"/>
          <w:lang w:val="ro-RO"/>
        </w:rPr>
        <w:t>3</w:t>
      </w:r>
      <w:r w:rsidR="00781A16" w:rsidRPr="00644D4E">
        <w:rPr>
          <w:rFonts w:ascii="Times New Roman" w:hAnsi="Times New Roman" w:cs="Times New Roman"/>
          <w:sz w:val="24"/>
          <w:szCs w:val="24"/>
          <w:lang w:val="ro-RO"/>
        </w:rPr>
        <w:t xml:space="preserve">, STOFM au antrenat în măsuri de stimulare a mobilității forței de muncă </w:t>
      </w:r>
      <w:r w:rsidR="00711AA1" w:rsidRPr="00644D4E">
        <w:rPr>
          <w:rFonts w:ascii="Times New Roman" w:hAnsi="Times New Roman" w:cs="Times New Roman"/>
          <w:sz w:val="24"/>
          <w:szCs w:val="24"/>
          <w:lang w:val="ro-RO"/>
        </w:rPr>
        <w:t>203</w:t>
      </w:r>
      <w:r w:rsidR="00781A16" w:rsidRPr="00644D4E">
        <w:rPr>
          <w:rFonts w:ascii="Times New Roman" w:hAnsi="Times New Roman" w:cs="Times New Roman"/>
          <w:sz w:val="24"/>
          <w:szCs w:val="24"/>
          <w:lang w:val="ro-RO"/>
        </w:rPr>
        <w:t xml:space="preserve"> persoane înregistrate cu statut de șomer (cu </w:t>
      </w:r>
      <w:r w:rsidR="00711AA1" w:rsidRPr="00644D4E">
        <w:rPr>
          <w:rFonts w:ascii="Times New Roman" w:hAnsi="Times New Roman" w:cs="Times New Roman"/>
          <w:sz w:val="24"/>
          <w:szCs w:val="24"/>
          <w:lang w:val="ro-RO"/>
        </w:rPr>
        <w:t>13</w:t>
      </w:r>
      <w:r w:rsidR="00781A16" w:rsidRPr="00644D4E">
        <w:rPr>
          <w:rFonts w:ascii="Times New Roman" w:hAnsi="Times New Roman" w:cs="Times New Roman"/>
          <w:sz w:val="24"/>
          <w:szCs w:val="24"/>
          <w:lang w:val="ro-RO"/>
        </w:rPr>
        <w:t xml:space="preserve"> persoane mai </w:t>
      </w:r>
      <w:r w:rsidR="00711AA1" w:rsidRPr="00644D4E">
        <w:rPr>
          <w:rFonts w:ascii="Times New Roman" w:hAnsi="Times New Roman" w:cs="Times New Roman"/>
          <w:sz w:val="24"/>
          <w:szCs w:val="24"/>
          <w:lang w:val="ro-RO"/>
        </w:rPr>
        <w:t>puțin</w:t>
      </w:r>
      <w:r w:rsidR="00781A16" w:rsidRPr="00644D4E">
        <w:rPr>
          <w:rFonts w:ascii="Times New Roman" w:hAnsi="Times New Roman" w:cs="Times New Roman"/>
          <w:sz w:val="24"/>
          <w:szCs w:val="24"/>
          <w:lang w:val="ro-RO"/>
        </w:rPr>
        <w:t xml:space="preserve"> față de anul 202</w:t>
      </w:r>
      <w:r w:rsidR="00711AA1" w:rsidRPr="00644D4E">
        <w:rPr>
          <w:rFonts w:ascii="Times New Roman" w:hAnsi="Times New Roman" w:cs="Times New Roman"/>
          <w:sz w:val="24"/>
          <w:szCs w:val="24"/>
          <w:lang w:val="ro-RO"/>
        </w:rPr>
        <w:t>2</w:t>
      </w:r>
      <w:r w:rsidR="00781A16" w:rsidRPr="00644D4E">
        <w:rPr>
          <w:rFonts w:ascii="Times New Roman" w:hAnsi="Times New Roman" w:cs="Times New Roman"/>
          <w:sz w:val="24"/>
          <w:szCs w:val="24"/>
          <w:lang w:val="ro-RO"/>
        </w:rPr>
        <w:t>), din care 5</w:t>
      </w:r>
      <w:r w:rsidR="00711AA1" w:rsidRPr="00644D4E">
        <w:rPr>
          <w:rFonts w:ascii="Times New Roman" w:hAnsi="Times New Roman" w:cs="Times New Roman"/>
          <w:sz w:val="24"/>
          <w:szCs w:val="24"/>
          <w:lang w:val="ro-RO"/>
        </w:rPr>
        <w:t>8</w:t>
      </w:r>
      <w:r w:rsidR="00781A16" w:rsidRPr="00644D4E">
        <w:rPr>
          <w:rFonts w:ascii="Times New Roman" w:hAnsi="Times New Roman" w:cs="Times New Roman"/>
          <w:sz w:val="24"/>
          <w:szCs w:val="24"/>
          <w:lang w:val="ro-RO"/>
        </w:rPr>
        <w:t xml:space="preserve">% sunt femei, iar din rândul tinerilor (16-29 ani) au beneficiat de indemnizații </w:t>
      </w:r>
      <w:r w:rsidR="00711AA1" w:rsidRPr="00644D4E">
        <w:rPr>
          <w:rFonts w:ascii="Times New Roman" w:hAnsi="Times New Roman" w:cs="Times New Roman"/>
          <w:sz w:val="24"/>
          <w:szCs w:val="24"/>
          <w:lang w:val="ro-RO"/>
        </w:rPr>
        <w:t>19</w:t>
      </w:r>
      <w:r w:rsidR="00781A16" w:rsidRPr="00644D4E">
        <w:rPr>
          <w:rFonts w:ascii="Times New Roman" w:hAnsi="Times New Roman" w:cs="Times New Roman"/>
          <w:sz w:val="24"/>
          <w:szCs w:val="24"/>
          <w:lang w:val="ro-RO"/>
        </w:rPr>
        <w:t>%. Din totalul beneficiarilor de indemnizații, majoritatea șomerilor sunt din localitățile rurale (8</w:t>
      </w:r>
      <w:r w:rsidR="00711AA1" w:rsidRPr="00644D4E">
        <w:rPr>
          <w:rFonts w:ascii="Times New Roman" w:hAnsi="Times New Roman" w:cs="Times New Roman"/>
          <w:sz w:val="24"/>
          <w:szCs w:val="24"/>
          <w:lang w:val="ro-RO"/>
        </w:rPr>
        <w:t>9</w:t>
      </w:r>
      <w:r w:rsidR="00781A16" w:rsidRPr="00644D4E">
        <w:rPr>
          <w:rFonts w:ascii="Times New Roman" w:hAnsi="Times New Roman" w:cs="Times New Roman"/>
          <w:sz w:val="24"/>
          <w:szCs w:val="24"/>
          <w:lang w:val="ro-RO"/>
        </w:rPr>
        <w:t>%), iar 1</w:t>
      </w:r>
      <w:r w:rsidR="00711AA1" w:rsidRPr="00644D4E">
        <w:rPr>
          <w:rFonts w:ascii="Times New Roman" w:hAnsi="Times New Roman" w:cs="Times New Roman"/>
          <w:sz w:val="24"/>
          <w:szCs w:val="24"/>
          <w:lang w:val="ro-RO"/>
        </w:rPr>
        <w:t>1</w:t>
      </w:r>
      <w:r w:rsidR="00781A16" w:rsidRPr="00644D4E">
        <w:rPr>
          <w:rFonts w:ascii="Times New Roman" w:hAnsi="Times New Roman" w:cs="Times New Roman"/>
          <w:sz w:val="24"/>
          <w:szCs w:val="24"/>
          <w:lang w:val="ro-RO"/>
        </w:rPr>
        <w:t>% fiind din mediul urban</w:t>
      </w:r>
      <w:r w:rsidR="00711AA1" w:rsidRPr="00644D4E">
        <w:rPr>
          <w:rFonts w:ascii="Times New Roman" w:hAnsi="Times New Roman" w:cs="Times New Roman"/>
          <w:sz w:val="24"/>
          <w:szCs w:val="24"/>
          <w:lang w:val="ro-RO"/>
        </w:rPr>
        <w:t>.</w:t>
      </w:r>
      <w:r w:rsidR="00781A16" w:rsidRPr="00644D4E">
        <w:rPr>
          <w:rFonts w:ascii="Times New Roman" w:hAnsi="Times New Roman" w:cs="Times New Roman"/>
          <w:sz w:val="24"/>
          <w:szCs w:val="24"/>
          <w:lang w:val="ro-RO"/>
        </w:rPr>
        <w:t xml:space="preserve"> </w:t>
      </w:r>
      <w:bookmarkStart w:id="42" w:name="_Toc40868850"/>
    </w:p>
    <w:p w14:paraId="12B08402" w14:textId="77777777" w:rsidR="00EE547C" w:rsidRPr="00644D4E" w:rsidRDefault="00C50972" w:rsidP="00781A16">
      <w:pPr>
        <w:pStyle w:val="NoSpacing"/>
        <w:spacing w:after="120"/>
        <w:ind w:right="-112"/>
        <w:jc w:val="both"/>
        <w:rPr>
          <w:rFonts w:ascii="Times New Roman" w:hAnsi="Times New Roman" w:cs="Times New Roman"/>
          <w:b/>
          <w:iCs/>
          <w:sz w:val="24"/>
          <w:szCs w:val="24"/>
          <w:lang w:val="ro-RO"/>
        </w:rPr>
      </w:pPr>
      <w:r w:rsidRPr="00644D4E">
        <w:rPr>
          <w:rFonts w:ascii="Times New Roman" w:hAnsi="Times New Roman" w:cs="Times New Roman"/>
          <w:b/>
          <w:sz w:val="28"/>
          <w:szCs w:val="28"/>
          <w:lang w:val="ro-RO"/>
        </w:rPr>
        <w:t>3.2</w:t>
      </w:r>
      <w:r w:rsidRPr="00644D4E">
        <w:rPr>
          <w:rFonts w:ascii="Times New Roman" w:hAnsi="Times New Roman" w:cs="Times New Roman"/>
          <w:sz w:val="24"/>
          <w:szCs w:val="24"/>
          <w:lang w:val="ro-RO"/>
        </w:rPr>
        <w:t xml:space="preserve">. </w:t>
      </w:r>
      <w:r w:rsidRPr="00644D4E">
        <w:rPr>
          <w:rStyle w:val="Heading2Char"/>
        </w:rPr>
        <w:t>Măsuri pasive ale pieței muncii</w:t>
      </w:r>
      <w:bookmarkEnd w:id="42"/>
      <w:r w:rsidRPr="00644D4E">
        <w:rPr>
          <w:rFonts w:ascii="Times New Roman" w:hAnsi="Times New Roman" w:cs="Times New Roman"/>
          <w:b/>
          <w:iCs/>
          <w:sz w:val="24"/>
          <w:szCs w:val="24"/>
          <w:lang w:val="ro-RO"/>
        </w:rPr>
        <w:t>.</w:t>
      </w:r>
    </w:p>
    <w:p w14:paraId="1DAE2071" w14:textId="18C4F840" w:rsidR="00C50972" w:rsidRPr="00644D4E" w:rsidRDefault="00F31ADC" w:rsidP="00781A16">
      <w:pPr>
        <w:pStyle w:val="NoSpacing"/>
        <w:spacing w:after="120"/>
        <w:ind w:right="-112"/>
        <w:jc w:val="both"/>
        <w:rPr>
          <w:rFonts w:ascii="Times New Roman" w:hAnsi="Times New Roman" w:cs="Times New Roman"/>
          <w:sz w:val="24"/>
          <w:szCs w:val="24"/>
          <w:lang w:val="ro-RO"/>
        </w:rPr>
      </w:pPr>
      <w:r w:rsidRPr="00644D4E">
        <w:rPr>
          <w:rFonts w:ascii="Times New Roman" w:hAnsi="Times New Roman" w:cs="Times New Roman"/>
          <w:iCs/>
          <w:sz w:val="24"/>
          <w:szCs w:val="24"/>
          <w:lang w:val="ro-RO"/>
        </w:rPr>
        <w:t>Î</w:t>
      </w:r>
      <w:r w:rsidR="00C50972" w:rsidRPr="00644D4E">
        <w:rPr>
          <w:rFonts w:ascii="Times New Roman" w:hAnsi="Times New Roman" w:cs="Times New Roman"/>
          <w:iCs/>
          <w:sz w:val="24"/>
          <w:szCs w:val="24"/>
          <w:lang w:val="ro-RO"/>
        </w:rPr>
        <w:t xml:space="preserve">n perioada de referință, </w:t>
      </w:r>
      <w:r w:rsidR="00C50972" w:rsidRPr="00644D4E">
        <w:rPr>
          <w:rFonts w:ascii="Times New Roman" w:hAnsi="Times New Roman" w:cs="Times New Roman"/>
          <w:sz w:val="24"/>
          <w:szCs w:val="24"/>
          <w:lang w:val="ro-RO"/>
        </w:rPr>
        <w:t xml:space="preserve">s-a stabilit ajutorul de șomaj pentru </w:t>
      </w:r>
      <w:r w:rsidR="00B63B53" w:rsidRPr="00644D4E">
        <w:rPr>
          <w:rFonts w:ascii="Times New Roman" w:hAnsi="Times New Roman" w:cs="Times New Roman"/>
          <w:b/>
          <w:sz w:val="24"/>
          <w:szCs w:val="24"/>
          <w:lang w:val="ro-RO"/>
        </w:rPr>
        <w:t>6325</w:t>
      </w:r>
      <w:r w:rsidR="00C50972" w:rsidRPr="00644D4E">
        <w:rPr>
          <w:rFonts w:ascii="Times New Roman" w:hAnsi="Times New Roman" w:cs="Times New Roman"/>
          <w:sz w:val="24"/>
          <w:szCs w:val="24"/>
          <w:lang w:val="ro-RO"/>
        </w:rPr>
        <w:t xml:space="preserve"> persoane, din care </w:t>
      </w:r>
      <w:r w:rsidR="00B63B53" w:rsidRPr="00644D4E">
        <w:rPr>
          <w:rFonts w:ascii="Times New Roman" w:hAnsi="Times New Roman" w:cs="Times New Roman"/>
          <w:b/>
          <w:sz w:val="24"/>
          <w:szCs w:val="24"/>
          <w:lang w:val="ro-RO"/>
        </w:rPr>
        <w:t>55</w:t>
      </w:r>
      <w:r w:rsidR="00C50972" w:rsidRPr="00644D4E">
        <w:rPr>
          <w:rFonts w:ascii="Times New Roman" w:hAnsi="Times New Roman" w:cs="Times New Roman"/>
          <w:b/>
          <w:sz w:val="24"/>
          <w:szCs w:val="24"/>
          <w:lang w:val="ro-RO"/>
        </w:rPr>
        <w:t>%</w:t>
      </w:r>
      <w:r w:rsidR="00C50972" w:rsidRPr="00644D4E">
        <w:rPr>
          <w:rFonts w:ascii="Times New Roman" w:hAnsi="Times New Roman" w:cs="Times New Roman"/>
          <w:sz w:val="24"/>
          <w:szCs w:val="24"/>
          <w:lang w:val="ro-RO"/>
        </w:rPr>
        <w:t xml:space="preserve"> sunt femei, </w:t>
      </w:r>
      <w:r w:rsidR="00B63B53" w:rsidRPr="00644D4E">
        <w:rPr>
          <w:rFonts w:ascii="Times New Roman" w:hAnsi="Times New Roman" w:cs="Times New Roman"/>
          <w:b/>
          <w:sz w:val="24"/>
          <w:szCs w:val="24"/>
          <w:lang w:val="ro-RO"/>
        </w:rPr>
        <w:t>53</w:t>
      </w:r>
      <w:r w:rsidR="00C50972" w:rsidRPr="00644D4E">
        <w:rPr>
          <w:rFonts w:ascii="Times New Roman" w:hAnsi="Times New Roman" w:cs="Times New Roman"/>
          <w:b/>
          <w:sz w:val="24"/>
          <w:szCs w:val="24"/>
          <w:lang w:val="ro-RO"/>
        </w:rPr>
        <w:t>%</w:t>
      </w:r>
      <w:r w:rsidR="00C50972" w:rsidRPr="00644D4E">
        <w:rPr>
          <w:rFonts w:ascii="Times New Roman" w:hAnsi="Times New Roman" w:cs="Times New Roman"/>
          <w:sz w:val="24"/>
          <w:szCs w:val="24"/>
          <w:lang w:val="ro-RO"/>
        </w:rPr>
        <w:t xml:space="preserve"> din sectorul rural. </w:t>
      </w:r>
    </w:p>
    <w:p w14:paraId="3C1F4CA4" w14:textId="77777777" w:rsidR="00C50972" w:rsidRPr="00644D4E" w:rsidRDefault="00C50972" w:rsidP="006C49E8">
      <w:pPr>
        <w:pStyle w:val="ListParagraph"/>
        <w:tabs>
          <w:tab w:val="left" w:pos="426"/>
        </w:tabs>
        <w:spacing w:after="120" w:line="240" w:lineRule="auto"/>
        <w:ind w:left="0"/>
        <w:jc w:val="both"/>
        <w:rPr>
          <w:rFonts w:ascii="Times New Roman" w:hAnsi="Times New Roman" w:cs="Times New Roman"/>
          <w:iCs/>
          <w:sz w:val="24"/>
          <w:szCs w:val="24"/>
          <w:lang w:val="ro-RO"/>
        </w:rPr>
      </w:pPr>
    </w:p>
    <w:p w14:paraId="0B584B1D" w14:textId="77777777" w:rsidR="00D0772B" w:rsidRPr="00644D4E" w:rsidRDefault="00D0772B" w:rsidP="006C49E8">
      <w:pPr>
        <w:pStyle w:val="ListParagraph"/>
        <w:tabs>
          <w:tab w:val="left" w:pos="426"/>
        </w:tabs>
        <w:spacing w:after="120" w:line="240" w:lineRule="auto"/>
        <w:ind w:left="0"/>
        <w:jc w:val="both"/>
        <w:rPr>
          <w:rFonts w:ascii="Times New Roman" w:hAnsi="Times New Roman" w:cs="Times New Roman"/>
          <w:iCs/>
          <w:sz w:val="24"/>
          <w:szCs w:val="24"/>
          <w:lang w:val="ro-RO"/>
        </w:rPr>
      </w:pPr>
    </w:p>
    <w:p w14:paraId="4A66EE54" w14:textId="77777777" w:rsidR="00EE547C" w:rsidRPr="00644D4E" w:rsidRDefault="00EE547C" w:rsidP="006C49E8">
      <w:pPr>
        <w:pStyle w:val="ListParagraph"/>
        <w:tabs>
          <w:tab w:val="left" w:pos="426"/>
        </w:tabs>
        <w:spacing w:after="120" w:line="240" w:lineRule="auto"/>
        <w:ind w:left="0"/>
        <w:jc w:val="both"/>
        <w:rPr>
          <w:rFonts w:ascii="Times New Roman" w:hAnsi="Times New Roman" w:cs="Times New Roman"/>
          <w:iCs/>
          <w:sz w:val="24"/>
          <w:szCs w:val="24"/>
          <w:lang w:val="ro-RO"/>
        </w:rPr>
      </w:pPr>
    </w:p>
    <w:p w14:paraId="55464B9C" w14:textId="77777777" w:rsidR="00C50972" w:rsidRPr="00644D4E" w:rsidRDefault="00C50972" w:rsidP="006C49E8">
      <w:pPr>
        <w:pStyle w:val="Heading1"/>
        <w:spacing w:line="240" w:lineRule="auto"/>
      </w:pPr>
      <w:bookmarkStart w:id="43" w:name="_Toc40868851"/>
      <w:bookmarkStart w:id="44" w:name="_Toc138064749"/>
      <w:r w:rsidRPr="00644D4E">
        <w:lastRenderedPageBreak/>
        <w:t>Capitolul IV. Concluzii.</w:t>
      </w:r>
      <w:bookmarkEnd w:id="43"/>
      <w:bookmarkEnd w:id="44"/>
    </w:p>
    <w:p w14:paraId="04CF82BB" w14:textId="77777777" w:rsidR="00945E90" w:rsidRPr="00644D4E" w:rsidRDefault="00945E90" w:rsidP="00EE547C">
      <w:pPr>
        <w:pStyle w:val="NoSpacing"/>
        <w:spacing w:after="120"/>
        <w:jc w:val="both"/>
        <w:rPr>
          <w:rFonts w:asciiTheme="majorBidi" w:hAnsiTheme="majorBidi" w:cstheme="majorBidi"/>
          <w:b/>
          <w:sz w:val="24"/>
          <w:szCs w:val="24"/>
          <w:lang w:val="ro-RO"/>
        </w:rPr>
      </w:pPr>
      <w:r w:rsidRPr="00644D4E">
        <w:rPr>
          <w:rFonts w:asciiTheme="majorBidi" w:hAnsiTheme="majorBidi" w:cstheme="majorBidi"/>
          <w:b/>
          <w:sz w:val="24"/>
          <w:szCs w:val="24"/>
          <w:lang w:val="ro-RO"/>
        </w:rPr>
        <w:t xml:space="preserve">Conform datelor </w:t>
      </w:r>
      <w:r w:rsidRPr="00644D4E">
        <w:rPr>
          <w:rFonts w:asciiTheme="majorBidi" w:hAnsiTheme="majorBidi" w:cstheme="majorBidi"/>
          <w:b/>
          <w:sz w:val="24"/>
          <w:szCs w:val="24"/>
          <w:lang w:val="ro-RO" w:eastAsia="ru-RU"/>
        </w:rPr>
        <w:t>Biroului Național de Statistică (BNS) în 202</w:t>
      </w:r>
      <w:r w:rsidR="004B1C2A" w:rsidRPr="00644D4E">
        <w:rPr>
          <w:rFonts w:asciiTheme="majorBidi" w:hAnsiTheme="majorBidi" w:cstheme="majorBidi"/>
          <w:b/>
          <w:sz w:val="24"/>
          <w:szCs w:val="24"/>
          <w:lang w:val="ro-RO" w:eastAsia="ru-RU"/>
        </w:rPr>
        <w:t>3</w:t>
      </w:r>
      <w:r w:rsidRPr="00644D4E">
        <w:rPr>
          <w:rFonts w:asciiTheme="majorBidi" w:hAnsiTheme="majorBidi" w:cstheme="majorBidi"/>
          <w:b/>
          <w:sz w:val="24"/>
          <w:szCs w:val="24"/>
          <w:lang w:val="ro-RO" w:eastAsia="ru-RU"/>
        </w:rPr>
        <w:t>:</w:t>
      </w:r>
    </w:p>
    <w:p w14:paraId="27D6F85B" w14:textId="77777777" w:rsidR="00607483" w:rsidRPr="00644D4E" w:rsidRDefault="00F51FFA" w:rsidP="00EE547C">
      <w:pPr>
        <w:pStyle w:val="NoSpacing"/>
        <w:spacing w:after="120"/>
        <w:jc w:val="both"/>
        <w:rPr>
          <w:rFonts w:asciiTheme="majorBidi" w:hAnsiTheme="majorBidi" w:cstheme="majorBidi"/>
          <w:sz w:val="24"/>
          <w:szCs w:val="24"/>
          <w:lang w:val="ro-RO"/>
        </w:rPr>
      </w:pPr>
      <w:r w:rsidRPr="00644D4E">
        <w:rPr>
          <w:rFonts w:asciiTheme="majorBidi" w:hAnsiTheme="majorBidi" w:cstheme="majorBidi"/>
          <w:b/>
          <w:bCs/>
          <w:sz w:val="24"/>
          <w:szCs w:val="24"/>
          <w:lang w:val="ro-RO"/>
        </w:rPr>
        <w:t>p</w:t>
      </w:r>
      <w:r w:rsidR="004B1C2A" w:rsidRPr="00644D4E">
        <w:rPr>
          <w:rFonts w:asciiTheme="majorBidi" w:hAnsiTheme="majorBidi" w:cstheme="majorBidi"/>
          <w:b/>
          <w:bCs/>
          <w:sz w:val="24"/>
          <w:szCs w:val="24"/>
          <w:lang w:val="ro-RO"/>
        </w:rPr>
        <w:t>rodusul intern brut</w:t>
      </w:r>
      <w:r w:rsidR="004B1C2A" w:rsidRPr="00644D4E">
        <w:rPr>
          <w:rFonts w:asciiTheme="majorBidi" w:hAnsiTheme="majorBidi" w:cstheme="majorBidi"/>
          <w:bCs/>
          <w:sz w:val="24"/>
          <w:szCs w:val="24"/>
          <w:lang w:val="ro-RO"/>
        </w:rPr>
        <w:t xml:space="preserve"> s-a majorat ușor cu</w:t>
      </w:r>
      <w:r w:rsidR="004B1C2A" w:rsidRPr="00644D4E">
        <w:rPr>
          <w:rFonts w:asciiTheme="majorBidi" w:hAnsiTheme="majorBidi" w:cstheme="majorBidi"/>
          <w:b/>
          <w:bCs/>
          <w:sz w:val="24"/>
          <w:szCs w:val="24"/>
          <w:lang w:val="ro-RO"/>
        </w:rPr>
        <w:t xml:space="preserve"> 0,7%</w:t>
      </w:r>
      <w:r w:rsidR="00945E90" w:rsidRPr="00644D4E">
        <w:rPr>
          <w:rFonts w:asciiTheme="majorBidi" w:hAnsiTheme="majorBidi" w:cstheme="majorBidi"/>
          <w:sz w:val="24"/>
          <w:szCs w:val="24"/>
          <w:lang w:val="ro-RO"/>
        </w:rPr>
        <w:t>;</w:t>
      </w:r>
    </w:p>
    <w:p w14:paraId="7D028C47" w14:textId="77777777" w:rsidR="00607483" w:rsidRPr="00644D4E" w:rsidRDefault="00772502" w:rsidP="00EE547C">
      <w:pPr>
        <w:pStyle w:val="NoSpacing"/>
        <w:spacing w:after="120"/>
        <w:jc w:val="both"/>
        <w:rPr>
          <w:rFonts w:asciiTheme="majorBidi" w:hAnsiTheme="majorBidi" w:cstheme="majorBidi"/>
          <w:sz w:val="24"/>
          <w:szCs w:val="24"/>
          <w:lang w:val="ro-RO"/>
        </w:rPr>
      </w:pPr>
      <w:r w:rsidRPr="00644D4E">
        <w:rPr>
          <w:rFonts w:asciiTheme="majorBidi" w:hAnsiTheme="majorBidi" w:cstheme="majorBidi"/>
          <w:sz w:val="24"/>
          <w:szCs w:val="24"/>
          <w:lang w:val="ro-RO"/>
        </w:rPr>
        <w:t>crizele din anul 2022, războiul din țara vecină, seceta severă și prețurile ridicate au continuat să influențeze evoluția economiei naționale, astfel</w:t>
      </w:r>
      <w:r w:rsidR="00607483" w:rsidRPr="00644D4E">
        <w:rPr>
          <w:rFonts w:asciiTheme="majorBidi" w:hAnsiTheme="majorBidi" w:cstheme="majorBidi"/>
          <w:sz w:val="24"/>
          <w:szCs w:val="24"/>
          <w:lang w:val="ro-RO"/>
        </w:rPr>
        <w:t xml:space="preserve"> diminu</w:t>
      </w:r>
      <w:r w:rsidRPr="00644D4E">
        <w:rPr>
          <w:rFonts w:asciiTheme="majorBidi" w:hAnsiTheme="majorBidi" w:cstheme="majorBidi"/>
          <w:sz w:val="24"/>
          <w:szCs w:val="24"/>
          <w:lang w:val="ro-RO"/>
        </w:rPr>
        <w:t>ând</w:t>
      </w:r>
      <w:r w:rsidR="00607483" w:rsidRPr="00644D4E">
        <w:rPr>
          <w:rFonts w:asciiTheme="majorBidi" w:hAnsiTheme="majorBidi" w:cstheme="majorBidi"/>
          <w:sz w:val="24"/>
          <w:szCs w:val="24"/>
          <w:lang w:val="ro-RO"/>
        </w:rPr>
        <w:t xml:space="preserve"> producția industrială cu </w:t>
      </w:r>
      <w:r w:rsidR="004B1C2A" w:rsidRPr="00644D4E">
        <w:rPr>
          <w:rFonts w:asciiTheme="majorBidi" w:hAnsiTheme="majorBidi" w:cstheme="majorBidi"/>
          <w:b/>
          <w:sz w:val="24"/>
          <w:szCs w:val="24"/>
          <w:lang w:val="ro-RO"/>
        </w:rPr>
        <w:t>3,6</w:t>
      </w:r>
      <w:r w:rsidR="00607483" w:rsidRPr="00644D4E">
        <w:rPr>
          <w:rFonts w:asciiTheme="majorBidi" w:hAnsiTheme="majorBidi" w:cstheme="majorBidi"/>
          <w:b/>
          <w:sz w:val="24"/>
          <w:szCs w:val="24"/>
          <w:lang w:val="ro-RO"/>
        </w:rPr>
        <w:t>%</w:t>
      </w:r>
      <w:r w:rsidR="00607483" w:rsidRPr="00644D4E">
        <w:rPr>
          <w:rFonts w:asciiTheme="majorBidi" w:hAnsiTheme="majorBidi" w:cstheme="majorBidi"/>
          <w:sz w:val="24"/>
          <w:szCs w:val="24"/>
          <w:lang w:val="ro-RO"/>
        </w:rPr>
        <w:t xml:space="preserve"> în anul 202</w:t>
      </w:r>
      <w:r w:rsidR="004B1C2A" w:rsidRPr="00644D4E">
        <w:rPr>
          <w:rFonts w:asciiTheme="majorBidi" w:hAnsiTheme="majorBidi" w:cstheme="majorBidi"/>
          <w:sz w:val="24"/>
          <w:szCs w:val="24"/>
          <w:lang w:val="ro-RO"/>
        </w:rPr>
        <w:t>3</w:t>
      </w:r>
      <w:r w:rsidR="002C3FF5" w:rsidRPr="00644D4E">
        <w:rPr>
          <w:rFonts w:asciiTheme="majorBidi" w:hAnsiTheme="majorBidi" w:cstheme="majorBidi"/>
          <w:sz w:val="24"/>
          <w:szCs w:val="24"/>
          <w:lang w:val="ro-RO"/>
        </w:rPr>
        <w:t xml:space="preserve">, </w:t>
      </w:r>
      <w:r w:rsidR="004B1C2A" w:rsidRPr="00644D4E">
        <w:rPr>
          <w:rFonts w:asciiTheme="majorBidi" w:hAnsiTheme="majorBidi" w:cstheme="majorBidi"/>
          <w:sz w:val="24"/>
          <w:szCs w:val="24"/>
          <w:lang w:val="ro-RO"/>
        </w:rPr>
        <w:t xml:space="preserve">nereușind să se revigoreze după crizele multiple din anul 2022, an în care industria a înregistrat o scădere a producției de </w:t>
      </w:r>
      <w:r w:rsidR="004B1C2A" w:rsidRPr="00644D4E">
        <w:rPr>
          <w:rFonts w:asciiTheme="majorBidi" w:hAnsiTheme="majorBidi" w:cstheme="majorBidi"/>
          <w:b/>
          <w:sz w:val="24"/>
          <w:szCs w:val="24"/>
          <w:lang w:val="ro-RO"/>
        </w:rPr>
        <w:t>5,1%</w:t>
      </w:r>
      <w:r w:rsidR="00945E90" w:rsidRPr="00644D4E">
        <w:rPr>
          <w:rFonts w:asciiTheme="majorBidi" w:hAnsiTheme="majorBidi" w:cstheme="majorBidi"/>
          <w:sz w:val="24"/>
          <w:szCs w:val="24"/>
          <w:lang w:val="ro-RO"/>
        </w:rPr>
        <w:t>;</w:t>
      </w:r>
    </w:p>
    <w:p w14:paraId="65CC7C19" w14:textId="77777777" w:rsidR="002C3FF5" w:rsidRPr="00644D4E" w:rsidRDefault="00F51FFA" w:rsidP="00EE547C">
      <w:pPr>
        <w:pStyle w:val="NoSpacing"/>
        <w:tabs>
          <w:tab w:val="left" w:pos="2552"/>
        </w:tabs>
        <w:spacing w:after="120"/>
        <w:jc w:val="both"/>
        <w:rPr>
          <w:rFonts w:asciiTheme="majorBidi" w:hAnsiTheme="majorBidi" w:cstheme="majorBidi"/>
          <w:sz w:val="24"/>
          <w:szCs w:val="24"/>
          <w:lang w:val="ro-RO"/>
        </w:rPr>
      </w:pPr>
      <w:r w:rsidRPr="00644D4E">
        <w:rPr>
          <w:rFonts w:asciiTheme="majorBidi" w:hAnsiTheme="majorBidi" w:cstheme="majorBidi"/>
          <w:b/>
          <w:bCs/>
          <w:sz w:val="24"/>
          <w:szCs w:val="24"/>
          <w:lang w:val="ro-RO"/>
        </w:rPr>
        <w:t>r</w:t>
      </w:r>
      <w:r w:rsidR="004B1C2A" w:rsidRPr="00644D4E">
        <w:rPr>
          <w:rFonts w:asciiTheme="majorBidi" w:hAnsiTheme="majorBidi" w:cstheme="majorBidi"/>
          <w:b/>
          <w:bCs/>
          <w:sz w:val="24"/>
          <w:szCs w:val="24"/>
          <w:lang w:val="ro-RO"/>
        </w:rPr>
        <w:t xml:space="preserve">ata anuală a inflației </w:t>
      </w:r>
      <w:r w:rsidR="004B1C2A" w:rsidRPr="00644D4E">
        <w:rPr>
          <w:rFonts w:asciiTheme="majorBidi" w:hAnsiTheme="majorBidi" w:cstheme="majorBidi"/>
          <w:bCs/>
          <w:sz w:val="24"/>
          <w:szCs w:val="24"/>
          <w:lang w:val="ro-RO"/>
        </w:rPr>
        <w:t xml:space="preserve">a intrat în intervalul de variație a țintei inflației stabilit de BNM, constituind </w:t>
      </w:r>
      <w:r w:rsidR="004B1C2A" w:rsidRPr="00644D4E">
        <w:rPr>
          <w:rFonts w:asciiTheme="majorBidi" w:hAnsiTheme="majorBidi" w:cstheme="majorBidi"/>
          <w:b/>
          <w:bCs/>
          <w:sz w:val="24"/>
          <w:szCs w:val="24"/>
          <w:lang w:val="ro-RO"/>
        </w:rPr>
        <w:t xml:space="preserve">4,2% </w:t>
      </w:r>
      <w:r w:rsidR="004B1C2A" w:rsidRPr="00644D4E">
        <w:rPr>
          <w:rFonts w:asciiTheme="majorBidi" w:hAnsiTheme="majorBidi" w:cstheme="majorBidi"/>
          <w:sz w:val="24"/>
          <w:szCs w:val="24"/>
          <w:lang w:val="ro-RO"/>
        </w:rPr>
        <w:t>(decembrie 2023 față de decembrie 2022)</w:t>
      </w:r>
      <w:r w:rsidR="00945E90" w:rsidRPr="00644D4E">
        <w:rPr>
          <w:rFonts w:asciiTheme="majorBidi" w:hAnsiTheme="majorBidi" w:cstheme="majorBidi"/>
          <w:sz w:val="24"/>
          <w:szCs w:val="24"/>
          <w:lang w:val="ro-RO"/>
        </w:rPr>
        <w:t>;</w:t>
      </w:r>
    </w:p>
    <w:p w14:paraId="70C1B21B" w14:textId="77777777" w:rsidR="00772502" w:rsidRPr="00644D4E" w:rsidRDefault="00772502" w:rsidP="00EE547C">
      <w:pPr>
        <w:pStyle w:val="NoSpacing"/>
        <w:tabs>
          <w:tab w:val="left" w:pos="2552"/>
        </w:tabs>
        <w:spacing w:after="120"/>
        <w:jc w:val="both"/>
        <w:rPr>
          <w:rFonts w:asciiTheme="majorBidi" w:hAnsiTheme="majorBidi" w:cstheme="majorBidi"/>
          <w:b/>
          <w:sz w:val="24"/>
          <w:szCs w:val="24"/>
          <w:lang w:val="ro-RO"/>
        </w:rPr>
      </w:pPr>
      <w:r w:rsidRPr="00644D4E">
        <w:rPr>
          <w:rFonts w:asciiTheme="majorBidi" w:hAnsiTheme="majorBidi" w:cstheme="majorBidi"/>
          <w:b/>
          <w:bCs/>
          <w:sz w:val="24"/>
          <w:szCs w:val="24"/>
          <w:lang w:val="ro-RO"/>
        </w:rPr>
        <w:t xml:space="preserve">câștigul salarial mediu lunar brut s-a majorat în termeni reali, </w:t>
      </w:r>
      <w:r w:rsidRPr="00644D4E">
        <w:rPr>
          <w:rFonts w:asciiTheme="majorBidi" w:hAnsiTheme="majorBidi" w:cstheme="majorBidi"/>
          <w:sz w:val="24"/>
          <w:szCs w:val="24"/>
          <w:lang w:val="ro-RO"/>
        </w:rPr>
        <w:t>constituind 12 354,7 lei, în creștere față de anul 2022 cu 17,3% în termeni nominali și cu 3,5% în termeni reali;</w:t>
      </w:r>
    </w:p>
    <w:p w14:paraId="51DAACA5" w14:textId="77777777" w:rsidR="00607483" w:rsidRPr="00644D4E" w:rsidRDefault="00FB3B4F" w:rsidP="00EE547C">
      <w:pPr>
        <w:pStyle w:val="NoSpacing"/>
        <w:spacing w:after="120"/>
        <w:jc w:val="both"/>
        <w:rPr>
          <w:rFonts w:asciiTheme="majorBidi" w:hAnsiTheme="majorBidi" w:cstheme="majorBidi"/>
          <w:sz w:val="24"/>
          <w:szCs w:val="24"/>
          <w:shd w:val="clear" w:color="auto" w:fill="FFFFFF"/>
          <w:lang w:val="ro-RO" w:eastAsia="ru-RU"/>
        </w:rPr>
      </w:pPr>
      <w:r w:rsidRPr="00644D4E">
        <w:rPr>
          <w:rFonts w:asciiTheme="majorBidi" w:hAnsiTheme="majorBidi" w:cstheme="majorBidi"/>
          <w:b/>
          <w:sz w:val="24"/>
          <w:szCs w:val="24"/>
          <w:lang w:val="ro-RO" w:eastAsia="ru-RU"/>
        </w:rPr>
        <w:t>numărul preliminar al populației</w:t>
      </w:r>
      <w:r w:rsidRPr="00644D4E">
        <w:rPr>
          <w:rFonts w:asciiTheme="majorBidi" w:hAnsiTheme="majorBidi" w:cstheme="majorBidi"/>
          <w:sz w:val="24"/>
          <w:szCs w:val="24"/>
          <w:lang w:val="ro-RO" w:eastAsia="ru-RU"/>
        </w:rPr>
        <w:t xml:space="preserve"> Republicii Moldova cu reședința obișnuită la 01.01.2023 </w:t>
      </w:r>
      <w:r w:rsidRPr="00644D4E">
        <w:rPr>
          <w:rFonts w:asciiTheme="majorBidi" w:hAnsiTheme="majorBidi" w:cstheme="majorBidi"/>
          <w:sz w:val="24"/>
          <w:szCs w:val="24"/>
          <w:shd w:val="clear" w:color="auto" w:fill="FFFFFF"/>
          <w:lang w:val="ro-RO" w:eastAsia="ru-RU"/>
        </w:rPr>
        <w:t xml:space="preserve">a constituit </w:t>
      </w:r>
      <w:r w:rsidRPr="00644D4E">
        <w:rPr>
          <w:rFonts w:asciiTheme="majorBidi" w:hAnsiTheme="majorBidi" w:cstheme="majorBidi"/>
          <w:b/>
          <w:sz w:val="24"/>
          <w:szCs w:val="24"/>
          <w:shd w:val="clear" w:color="auto" w:fill="FFFFFF"/>
          <w:lang w:val="ro-RO" w:eastAsia="ru-RU"/>
        </w:rPr>
        <w:t>2518,8 mii</w:t>
      </w:r>
      <w:r w:rsidRPr="00644D4E">
        <w:rPr>
          <w:rFonts w:asciiTheme="majorBidi" w:hAnsiTheme="majorBidi" w:cstheme="majorBidi"/>
          <w:sz w:val="24"/>
          <w:szCs w:val="24"/>
          <w:shd w:val="clear" w:color="auto" w:fill="FFFFFF"/>
          <w:lang w:val="ro-RO" w:eastAsia="ru-RU"/>
        </w:rPr>
        <w:t xml:space="preserve"> persoane, </w:t>
      </w:r>
      <w:r w:rsidRPr="00644D4E">
        <w:rPr>
          <w:rFonts w:asciiTheme="majorBidi" w:hAnsiTheme="majorBidi" w:cstheme="majorBidi"/>
          <w:sz w:val="24"/>
          <w:szCs w:val="24"/>
          <w:lang w:val="ro-RO"/>
        </w:rPr>
        <w:t xml:space="preserve">în scădere cu </w:t>
      </w:r>
      <w:r w:rsidRPr="00644D4E">
        <w:rPr>
          <w:rFonts w:asciiTheme="majorBidi" w:hAnsiTheme="majorBidi" w:cstheme="majorBidi"/>
          <w:b/>
          <w:sz w:val="24"/>
          <w:szCs w:val="24"/>
          <w:lang w:val="ro-RO"/>
        </w:rPr>
        <w:t>52,3 mii</w:t>
      </w:r>
      <w:r w:rsidRPr="00644D4E">
        <w:rPr>
          <w:rFonts w:asciiTheme="majorBidi" w:hAnsiTheme="majorBidi" w:cstheme="majorBidi"/>
          <w:sz w:val="24"/>
          <w:szCs w:val="24"/>
          <w:lang w:val="ro-RO"/>
        </w:rPr>
        <w:t xml:space="preserve"> persoane (cu 0,2%) mai </w:t>
      </w:r>
      <w:proofErr w:type="spellStart"/>
      <w:r w:rsidRPr="00644D4E">
        <w:rPr>
          <w:rFonts w:asciiTheme="majorBidi" w:hAnsiTheme="majorBidi" w:cstheme="majorBidi"/>
          <w:sz w:val="24"/>
          <w:szCs w:val="24"/>
          <w:lang w:val="ro-RO"/>
        </w:rPr>
        <w:t>puţin</w:t>
      </w:r>
      <w:proofErr w:type="spellEnd"/>
      <w:r w:rsidRPr="00644D4E">
        <w:rPr>
          <w:rFonts w:asciiTheme="majorBidi" w:hAnsiTheme="majorBidi" w:cstheme="majorBidi"/>
          <w:sz w:val="24"/>
          <w:szCs w:val="24"/>
          <w:lang w:val="ro-RO"/>
        </w:rPr>
        <w:t xml:space="preserve"> față de începutul anului precedent</w:t>
      </w:r>
      <w:r w:rsidR="00945E90" w:rsidRPr="00644D4E">
        <w:rPr>
          <w:rFonts w:asciiTheme="majorBidi" w:hAnsiTheme="majorBidi" w:cstheme="majorBidi"/>
          <w:sz w:val="24"/>
          <w:szCs w:val="24"/>
          <w:shd w:val="clear" w:color="auto" w:fill="FFFFFF"/>
          <w:lang w:val="ro-RO" w:eastAsia="ru-RU"/>
        </w:rPr>
        <w:t>;</w:t>
      </w:r>
      <w:r w:rsidR="00607483" w:rsidRPr="00644D4E">
        <w:rPr>
          <w:rFonts w:asciiTheme="majorBidi" w:hAnsiTheme="majorBidi" w:cstheme="majorBidi"/>
          <w:sz w:val="24"/>
          <w:szCs w:val="24"/>
          <w:shd w:val="clear" w:color="auto" w:fill="FFFFFF"/>
          <w:lang w:val="ro-RO" w:eastAsia="ru-RU"/>
        </w:rPr>
        <w:t xml:space="preserve"> </w:t>
      </w:r>
    </w:p>
    <w:p w14:paraId="4D1E1314" w14:textId="64D49A0D" w:rsidR="00607483" w:rsidRPr="00644D4E" w:rsidRDefault="00F51FFA" w:rsidP="00EE547C">
      <w:pPr>
        <w:spacing w:after="120"/>
        <w:jc w:val="both"/>
        <w:rPr>
          <w:rFonts w:asciiTheme="majorBidi" w:hAnsiTheme="majorBidi" w:cstheme="majorBidi"/>
          <w:b/>
          <w:sz w:val="24"/>
          <w:szCs w:val="24"/>
          <w:lang w:val="ro-RO"/>
        </w:rPr>
      </w:pPr>
      <w:r w:rsidRPr="00644D4E">
        <w:rPr>
          <w:rFonts w:asciiTheme="majorBidi" w:eastAsia="Times New Roman" w:hAnsiTheme="majorBidi" w:cstheme="majorBidi"/>
          <w:b/>
          <w:bCs/>
          <w:sz w:val="24"/>
          <w:szCs w:val="24"/>
          <w:lang w:val="ro-RO" w:eastAsia="ru-RU"/>
        </w:rPr>
        <w:t>r</w:t>
      </w:r>
      <w:r w:rsidR="007220FC" w:rsidRPr="00644D4E">
        <w:rPr>
          <w:rFonts w:asciiTheme="majorBidi" w:eastAsia="Times New Roman" w:hAnsiTheme="majorBidi" w:cstheme="majorBidi"/>
          <w:b/>
          <w:bCs/>
          <w:sz w:val="24"/>
          <w:szCs w:val="24"/>
          <w:lang w:val="ro-RO" w:eastAsia="ru-RU"/>
        </w:rPr>
        <w:t>ata de participare la forța de muncă a populației de 15 ani și peste</w:t>
      </w:r>
      <w:r w:rsidR="007220FC" w:rsidRPr="00644D4E">
        <w:rPr>
          <w:rFonts w:asciiTheme="majorBidi" w:eastAsia="Times New Roman" w:hAnsiTheme="majorBidi" w:cstheme="majorBidi"/>
          <w:sz w:val="24"/>
          <w:szCs w:val="24"/>
          <w:lang w:val="ro-RO" w:eastAsia="ru-RU"/>
        </w:rPr>
        <w:t> </w:t>
      </w:r>
      <w:r w:rsidR="007220FC" w:rsidRPr="00644D4E">
        <w:rPr>
          <w:rFonts w:asciiTheme="majorBidi" w:eastAsia="Times New Roman" w:hAnsiTheme="majorBidi" w:cstheme="majorBidi"/>
          <w:i/>
          <w:iCs/>
          <w:sz w:val="24"/>
          <w:szCs w:val="24"/>
          <w:lang w:val="ro-RO" w:eastAsia="ru-RU"/>
        </w:rPr>
        <w:t>(proporția forței de muncă de 15 ani și peste în populația totală de aceeași categorie de vârstă</w:t>
      </w:r>
      <w:r w:rsidR="00EE547C" w:rsidRPr="00644D4E">
        <w:rPr>
          <w:rFonts w:asciiTheme="majorBidi" w:eastAsia="Times New Roman" w:hAnsiTheme="majorBidi" w:cstheme="majorBidi"/>
          <w:sz w:val="24"/>
          <w:szCs w:val="24"/>
          <w:lang w:val="ro-RO" w:eastAsia="ru-RU"/>
        </w:rPr>
        <w:t xml:space="preserve">) </w:t>
      </w:r>
      <w:r w:rsidR="007220FC" w:rsidRPr="00644D4E">
        <w:rPr>
          <w:rFonts w:asciiTheme="majorBidi" w:eastAsia="Times New Roman" w:hAnsiTheme="majorBidi" w:cstheme="majorBidi"/>
          <w:sz w:val="24"/>
          <w:szCs w:val="24"/>
          <w:lang w:val="ro-RO" w:eastAsia="ru-RU"/>
        </w:rPr>
        <w:t xml:space="preserve">a constituit – </w:t>
      </w:r>
      <w:r w:rsidR="007220FC" w:rsidRPr="00644D4E">
        <w:rPr>
          <w:rFonts w:asciiTheme="majorBidi" w:eastAsia="Times New Roman" w:hAnsiTheme="majorBidi" w:cstheme="majorBidi"/>
          <w:b/>
          <w:sz w:val="24"/>
          <w:szCs w:val="24"/>
          <w:lang w:val="ro-RO" w:eastAsia="ru-RU"/>
        </w:rPr>
        <w:t>45,1%</w:t>
      </w:r>
      <w:r w:rsidR="007220FC" w:rsidRPr="00644D4E">
        <w:rPr>
          <w:rFonts w:asciiTheme="majorBidi" w:eastAsia="Times New Roman" w:hAnsiTheme="majorBidi" w:cstheme="majorBidi"/>
          <w:sz w:val="24"/>
          <w:szCs w:val="24"/>
          <w:lang w:val="ro-RO" w:eastAsia="ru-RU"/>
        </w:rPr>
        <w:t xml:space="preserve">, fiind în </w:t>
      </w:r>
      <w:proofErr w:type="spellStart"/>
      <w:r w:rsidR="007220FC" w:rsidRPr="00644D4E">
        <w:rPr>
          <w:rFonts w:asciiTheme="majorBidi" w:eastAsia="Times New Roman" w:hAnsiTheme="majorBidi" w:cstheme="majorBidi"/>
          <w:sz w:val="24"/>
          <w:szCs w:val="24"/>
          <w:lang w:val="ro-RO" w:eastAsia="ru-RU"/>
        </w:rPr>
        <w:t>creştere</w:t>
      </w:r>
      <w:proofErr w:type="spellEnd"/>
      <w:r w:rsidR="007220FC" w:rsidRPr="00644D4E">
        <w:rPr>
          <w:rFonts w:asciiTheme="majorBidi" w:eastAsia="Times New Roman" w:hAnsiTheme="majorBidi" w:cstheme="majorBidi"/>
          <w:sz w:val="24"/>
          <w:szCs w:val="24"/>
          <w:lang w:val="ro-RO" w:eastAsia="ru-RU"/>
        </w:rPr>
        <w:t xml:space="preserve"> față  de valoarea anului precedent (în anul 2022 – 41,8%);</w:t>
      </w:r>
    </w:p>
    <w:p w14:paraId="15CEB7A4" w14:textId="77777777" w:rsidR="007220FC" w:rsidRPr="00644D4E" w:rsidRDefault="00F51FFA" w:rsidP="00EE547C">
      <w:pPr>
        <w:spacing w:after="120"/>
        <w:jc w:val="both"/>
        <w:rPr>
          <w:rFonts w:asciiTheme="majorBidi" w:eastAsia="Times New Roman" w:hAnsiTheme="majorBidi" w:cstheme="majorBidi"/>
          <w:sz w:val="24"/>
          <w:szCs w:val="24"/>
          <w:lang w:val="ro-RO" w:eastAsia="ru-RU"/>
        </w:rPr>
      </w:pPr>
      <w:r w:rsidRPr="00644D4E">
        <w:rPr>
          <w:rFonts w:asciiTheme="majorBidi" w:eastAsia="Times New Roman" w:hAnsiTheme="majorBidi" w:cstheme="majorBidi"/>
          <w:b/>
          <w:bCs/>
          <w:sz w:val="24"/>
          <w:szCs w:val="24"/>
          <w:lang w:val="ro-RO" w:eastAsia="ru-RU"/>
        </w:rPr>
        <w:t>p</w:t>
      </w:r>
      <w:r w:rsidR="007220FC" w:rsidRPr="00644D4E">
        <w:rPr>
          <w:rFonts w:asciiTheme="majorBidi" w:eastAsia="Times New Roman" w:hAnsiTheme="majorBidi" w:cstheme="majorBidi"/>
          <w:b/>
          <w:bCs/>
          <w:sz w:val="24"/>
          <w:szCs w:val="24"/>
          <w:lang w:val="ro-RO" w:eastAsia="ru-RU"/>
        </w:rPr>
        <w:t>opulația ocupată</w:t>
      </w:r>
      <w:r w:rsidR="007220FC" w:rsidRPr="00644D4E">
        <w:rPr>
          <w:rFonts w:asciiTheme="majorBidi" w:eastAsia="Times New Roman" w:hAnsiTheme="majorBidi" w:cstheme="majorBidi"/>
          <w:sz w:val="24"/>
          <w:szCs w:val="24"/>
          <w:lang w:val="ro-RO" w:eastAsia="ru-RU"/>
        </w:rPr>
        <w:t xml:space="preserve"> pentru anul 2023 a constituit </w:t>
      </w:r>
      <w:r w:rsidR="007220FC" w:rsidRPr="00644D4E">
        <w:rPr>
          <w:rFonts w:asciiTheme="majorBidi" w:eastAsia="Times New Roman" w:hAnsiTheme="majorBidi" w:cstheme="majorBidi"/>
          <w:b/>
          <w:sz w:val="24"/>
          <w:szCs w:val="24"/>
          <w:lang w:val="ro-RO" w:eastAsia="ru-RU"/>
        </w:rPr>
        <w:t>886,9 mii</w:t>
      </w:r>
      <w:r w:rsidR="007220FC" w:rsidRPr="00644D4E">
        <w:rPr>
          <w:rFonts w:asciiTheme="majorBidi" w:eastAsia="Times New Roman" w:hAnsiTheme="majorBidi" w:cstheme="majorBidi"/>
          <w:sz w:val="24"/>
          <w:szCs w:val="24"/>
          <w:lang w:val="ro-RO" w:eastAsia="ru-RU"/>
        </w:rPr>
        <w:t xml:space="preserve"> persoane, înregistrând o </w:t>
      </w:r>
      <w:proofErr w:type="spellStart"/>
      <w:r w:rsidR="007220FC" w:rsidRPr="00644D4E">
        <w:rPr>
          <w:rFonts w:asciiTheme="majorBidi" w:eastAsia="Times New Roman" w:hAnsiTheme="majorBidi" w:cstheme="majorBidi"/>
          <w:sz w:val="24"/>
          <w:szCs w:val="24"/>
          <w:lang w:val="ro-RO" w:eastAsia="ru-RU"/>
        </w:rPr>
        <w:t>creştere</w:t>
      </w:r>
      <w:proofErr w:type="spellEnd"/>
      <w:r w:rsidR="007220FC" w:rsidRPr="00644D4E">
        <w:rPr>
          <w:rFonts w:asciiTheme="majorBidi" w:eastAsia="Times New Roman" w:hAnsiTheme="majorBidi" w:cstheme="majorBidi"/>
          <w:sz w:val="24"/>
          <w:szCs w:val="24"/>
          <w:lang w:val="ro-RO" w:eastAsia="ru-RU"/>
        </w:rPr>
        <w:t xml:space="preserve"> de </w:t>
      </w:r>
      <w:r w:rsidR="007220FC" w:rsidRPr="00644D4E">
        <w:rPr>
          <w:rFonts w:asciiTheme="majorBidi" w:eastAsia="Times New Roman" w:hAnsiTheme="majorBidi" w:cstheme="majorBidi"/>
          <w:b/>
          <w:sz w:val="24"/>
          <w:szCs w:val="24"/>
          <w:lang w:val="ro-RO" w:eastAsia="ru-RU"/>
        </w:rPr>
        <w:t>2,9%</w:t>
      </w:r>
      <w:r w:rsidR="007220FC" w:rsidRPr="00644D4E">
        <w:rPr>
          <w:rFonts w:asciiTheme="majorBidi" w:eastAsia="Times New Roman" w:hAnsiTheme="majorBidi" w:cstheme="majorBidi"/>
          <w:sz w:val="24"/>
          <w:szCs w:val="24"/>
          <w:lang w:val="ro-RO" w:eastAsia="ru-RU"/>
        </w:rPr>
        <w:t>, comparativ cu anul precedent;</w:t>
      </w:r>
    </w:p>
    <w:p w14:paraId="3667CC18" w14:textId="77777777" w:rsidR="007220FC" w:rsidRPr="00644D4E" w:rsidRDefault="00F51FFA" w:rsidP="00EE547C">
      <w:pPr>
        <w:shd w:val="clear" w:color="auto" w:fill="FFFFFF"/>
        <w:spacing w:after="120" w:line="240" w:lineRule="auto"/>
        <w:jc w:val="both"/>
        <w:rPr>
          <w:rFonts w:asciiTheme="majorBidi" w:eastAsia="Times New Roman" w:hAnsiTheme="majorBidi" w:cstheme="majorBidi"/>
          <w:sz w:val="24"/>
          <w:szCs w:val="24"/>
          <w:lang w:val="ro-RO" w:eastAsia="ru-RU"/>
        </w:rPr>
      </w:pPr>
      <w:r w:rsidRPr="00644D4E">
        <w:rPr>
          <w:rFonts w:asciiTheme="majorBidi" w:eastAsia="Times New Roman" w:hAnsiTheme="majorBidi" w:cstheme="majorBidi"/>
          <w:b/>
          <w:bCs/>
          <w:sz w:val="24"/>
          <w:szCs w:val="24"/>
          <w:lang w:val="ro-RO" w:eastAsia="ru-RU"/>
        </w:rPr>
        <w:t>r</w:t>
      </w:r>
      <w:r w:rsidR="007220FC" w:rsidRPr="00644D4E">
        <w:rPr>
          <w:rFonts w:asciiTheme="majorBidi" w:eastAsia="Times New Roman" w:hAnsiTheme="majorBidi" w:cstheme="majorBidi"/>
          <w:b/>
          <w:bCs/>
          <w:sz w:val="24"/>
          <w:szCs w:val="24"/>
          <w:lang w:val="ro-RO" w:eastAsia="ru-RU"/>
        </w:rPr>
        <w:t>ata de ocupare a populației de 15 ani și peste</w:t>
      </w:r>
      <w:r w:rsidR="007220FC" w:rsidRPr="00644D4E">
        <w:rPr>
          <w:rFonts w:asciiTheme="majorBidi" w:eastAsia="Times New Roman" w:hAnsiTheme="majorBidi" w:cstheme="majorBidi"/>
          <w:sz w:val="24"/>
          <w:szCs w:val="24"/>
          <w:lang w:val="ro-RO" w:eastAsia="ru-RU"/>
        </w:rPr>
        <w:t> </w:t>
      </w:r>
      <w:r w:rsidR="007220FC" w:rsidRPr="00644D4E">
        <w:rPr>
          <w:rFonts w:asciiTheme="majorBidi" w:eastAsia="Times New Roman" w:hAnsiTheme="majorBidi" w:cstheme="majorBidi"/>
          <w:i/>
          <w:iCs/>
          <w:sz w:val="24"/>
          <w:szCs w:val="24"/>
          <w:lang w:val="ro-RO" w:eastAsia="ru-RU"/>
        </w:rPr>
        <w:t>(proporția persoanelor ocupate în vârstă de 15 ani și peste față de populația totală din aceeași categorie de vârstă)</w:t>
      </w:r>
      <w:r w:rsidR="007220FC" w:rsidRPr="00644D4E">
        <w:rPr>
          <w:rFonts w:asciiTheme="majorBidi" w:eastAsia="Times New Roman" w:hAnsiTheme="majorBidi" w:cstheme="majorBidi"/>
          <w:sz w:val="24"/>
          <w:szCs w:val="24"/>
          <w:lang w:val="ro-RO" w:eastAsia="ru-RU"/>
        </w:rPr>
        <w:t xml:space="preserve"> a fost de </w:t>
      </w:r>
      <w:r w:rsidR="007220FC" w:rsidRPr="00644D4E">
        <w:rPr>
          <w:rFonts w:asciiTheme="majorBidi" w:eastAsia="Times New Roman" w:hAnsiTheme="majorBidi" w:cstheme="majorBidi"/>
          <w:b/>
          <w:sz w:val="24"/>
          <w:szCs w:val="24"/>
          <w:lang w:val="ro-RO" w:eastAsia="ru-RU"/>
        </w:rPr>
        <w:t>43,1</w:t>
      </w:r>
      <w:r w:rsidR="007220FC" w:rsidRPr="00644D4E">
        <w:rPr>
          <w:rFonts w:asciiTheme="majorBidi" w:eastAsia="Times New Roman" w:hAnsiTheme="majorBidi" w:cstheme="majorBidi"/>
          <w:sz w:val="24"/>
          <w:szCs w:val="24"/>
          <w:lang w:val="ro-RO" w:eastAsia="ru-RU"/>
        </w:rPr>
        <w:t>, fiind în creștere față de nivelul anului precedent (40,5% în 2022);</w:t>
      </w:r>
    </w:p>
    <w:p w14:paraId="470D936E" w14:textId="77777777" w:rsidR="00F51FFA" w:rsidRPr="00644D4E" w:rsidRDefault="00F51FFA" w:rsidP="00EE547C">
      <w:pPr>
        <w:pStyle w:val="Heading1"/>
        <w:spacing w:line="240" w:lineRule="auto"/>
        <w:rPr>
          <w:rFonts w:asciiTheme="majorBidi" w:hAnsiTheme="majorBidi" w:cstheme="majorBidi"/>
          <w:b w:val="0"/>
          <w:sz w:val="24"/>
          <w:szCs w:val="24"/>
        </w:rPr>
      </w:pPr>
      <w:r w:rsidRPr="00644D4E">
        <w:rPr>
          <w:rFonts w:asciiTheme="majorBidi" w:hAnsiTheme="majorBidi" w:cstheme="majorBidi"/>
          <w:bCs/>
          <w:sz w:val="24"/>
          <w:szCs w:val="24"/>
        </w:rPr>
        <w:t>rata șomajului</w:t>
      </w:r>
      <w:r w:rsidRPr="00644D4E">
        <w:rPr>
          <w:rFonts w:asciiTheme="majorBidi" w:hAnsiTheme="majorBidi" w:cstheme="majorBidi"/>
          <w:b w:val="0"/>
          <w:bCs/>
          <w:sz w:val="24"/>
          <w:szCs w:val="24"/>
        </w:rPr>
        <w:t xml:space="preserve"> </w:t>
      </w:r>
      <w:r w:rsidRPr="00644D4E">
        <w:rPr>
          <w:rFonts w:asciiTheme="majorBidi" w:hAnsiTheme="majorBidi" w:cstheme="majorBidi"/>
          <w:b w:val="0"/>
          <w:sz w:val="24"/>
          <w:szCs w:val="24"/>
        </w:rPr>
        <w:t xml:space="preserve">(ponderea șomerilor BIM în populația activă) la nivel de țară în anul 2023 a constituit </w:t>
      </w:r>
      <w:r w:rsidRPr="00644D4E">
        <w:rPr>
          <w:rFonts w:asciiTheme="majorBidi" w:hAnsiTheme="majorBidi" w:cstheme="majorBidi"/>
          <w:sz w:val="24"/>
          <w:szCs w:val="24"/>
        </w:rPr>
        <w:t>4,6%</w:t>
      </w:r>
      <w:r w:rsidRPr="00644D4E">
        <w:rPr>
          <w:rFonts w:asciiTheme="majorBidi" w:hAnsiTheme="majorBidi" w:cstheme="majorBidi"/>
          <w:b w:val="0"/>
          <w:sz w:val="24"/>
          <w:szCs w:val="24"/>
        </w:rPr>
        <w:t xml:space="preserve">, fiind mai înaltă cu 1,5 </w:t>
      </w:r>
      <w:proofErr w:type="spellStart"/>
      <w:r w:rsidRPr="00644D4E">
        <w:rPr>
          <w:rFonts w:asciiTheme="majorBidi" w:hAnsiTheme="majorBidi" w:cstheme="majorBidi"/>
          <w:b w:val="0"/>
          <w:sz w:val="24"/>
          <w:szCs w:val="24"/>
        </w:rPr>
        <w:t>p.p.</w:t>
      </w:r>
      <w:proofErr w:type="spellEnd"/>
      <w:r w:rsidRPr="00644D4E">
        <w:rPr>
          <w:rFonts w:asciiTheme="majorBidi" w:hAnsiTheme="majorBidi" w:cstheme="majorBidi"/>
          <w:b w:val="0"/>
          <w:sz w:val="24"/>
          <w:szCs w:val="24"/>
        </w:rPr>
        <w:t xml:space="preserve"> față de anul 2022 (3,1%);</w:t>
      </w:r>
    </w:p>
    <w:p w14:paraId="6EDDAD36" w14:textId="77777777" w:rsidR="00F51FFA" w:rsidRPr="00644D4E" w:rsidRDefault="00F51FFA" w:rsidP="00EE547C">
      <w:pPr>
        <w:spacing w:after="120" w:line="240" w:lineRule="auto"/>
        <w:jc w:val="both"/>
        <w:rPr>
          <w:rFonts w:asciiTheme="majorBidi" w:eastAsia="Calibri" w:hAnsiTheme="majorBidi" w:cstheme="majorBidi"/>
          <w:sz w:val="24"/>
          <w:szCs w:val="24"/>
          <w:lang w:val="ro-RO"/>
        </w:rPr>
      </w:pPr>
      <w:r w:rsidRPr="00644D4E">
        <w:rPr>
          <w:rFonts w:asciiTheme="majorBidi" w:eastAsia="Calibri" w:hAnsiTheme="majorBidi" w:cstheme="majorBidi"/>
          <w:sz w:val="24"/>
          <w:szCs w:val="24"/>
          <w:lang w:val="ro-RO"/>
        </w:rPr>
        <w:t xml:space="preserve">numărul </w:t>
      </w:r>
      <w:r w:rsidRPr="00644D4E">
        <w:rPr>
          <w:rFonts w:asciiTheme="majorBidi" w:eastAsia="Calibri" w:hAnsiTheme="majorBidi" w:cstheme="majorBidi"/>
          <w:b/>
          <w:sz w:val="24"/>
          <w:szCs w:val="24"/>
          <w:lang w:val="ro-RO"/>
        </w:rPr>
        <w:t>șomerilor BIM</w:t>
      </w:r>
      <w:r w:rsidRPr="00644D4E">
        <w:rPr>
          <w:rFonts w:asciiTheme="majorBidi" w:eastAsia="Calibri" w:hAnsiTheme="majorBidi" w:cstheme="majorBidi"/>
          <w:sz w:val="24"/>
          <w:szCs w:val="24"/>
          <w:lang w:val="ro-RO"/>
        </w:rPr>
        <w:t xml:space="preserve"> în anul 2023 a constituit, </w:t>
      </w:r>
      <w:r w:rsidRPr="00644D4E">
        <w:rPr>
          <w:rFonts w:asciiTheme="majorBidi" w:eastAsia="Calibri" w:hAnsiTheme="majorBidi" w:cstheme="majorBidi"/>
          <w:b/>
          <w:sz w:val="24"/>
          <w:szCs w:val="24"/>
          <w:lang w:val="ro-RO"/>
        </w:rPr>
        <w:t>42,6</w:t>
      </w:r>
      <w:r w:rsidRPr="00644D4E">
        <w:rPr>
          <w:rFonts w:asciiTheme="majorBidi" w:eastAsia="Calibri" w:hAnsiTheme="majorBidi" w:cstheme="majorBidi"/>
          <w:sz w:val="24"/>
          <w:szCs w:val="24"/>
          <w:lang w:val="ro-RO"/>
        </w:rPr>
        <w:t xml:space="preserve"> </w:t>
      </w:r>
      <w:r w:rsidRPr="00644D4E">
        <w:rPr>
          <w:rFonts w:asciiTheme="majorBidi" w:eastAsia="Calibri" w:hAnsiTheme="majorBidi" w:cstheme="majorBidi"/>
          <w:b/>
          <w:sz w:val="24"/>
          <w:szCs w:val="24"/>
          <w:lang w:val="ro-RO"/>
        </w:rPr>
        <w:t xml:space="preserve">mii </w:t>
      </w:r>
      <w:r w:rsidRPr="00644D4E">
        <w:rPr>
          <w:rFonts w:asciiTheme="majorBidi" w:eastAsia="Calibri" w:hAnsiTheme="majorBidi" w:cstheme="majorBidi"/>
          <w:sz w:val="24"/>
          <w:szCs w:val="24"/>
          <w:lang w:val="ro-RO"/>
        </w:rPr>
        <w:t xml:space="preserve">persoane fiind în creștere  comparativ cu anul precedent </w:t>
      </w:r>
      <w:r w:rsidRPr="00644D4E">
        <w:rPr>
          <w:rFonts w:asciiTheme="majorBidi" w:eastAsia="Calibri" w:hAnsiTheme="majorBidi" w:cstheme="majorBidi"/>
          <w:b/>
          <w:sz w:val="24"/>
          <w:szCs w:val="24"/>
          <w:lang w:val="ro-RO"/>
        </w:rPr>
        <w:t>27,7 mii</w:t>
      </w:r>
      <w:r w:rsidRPr="00644D4E">
        <w:rPr>
          <w:rFonts w:asciiTheme="majorBidi" w:eastAsia="Calibri" w:hAnsiTheme="majorBidi" w:cstheme="majorBidi"/>
          <w:sz w:val="24"/>
          <w:szCs w:val="24"/>
          <w:lang w:val="ro-RO"/>
        </w:rPr>
        <w:t xml:space="preserve"> persoane;</w:t>
      </w:r>
    </w:p>
    <w:p w14:paraId="494AF10B" w14:textId="77777777" w:rsidR="00F51FFA" w:rsidRPr="00644D4E" w:rsidRDefault="00F51FFA" w:rsidP="00EE547C">
      <w:pPr>
        <w:spacing w:after="120" w:line="240" w:lineRule="auto"/>
        <w:jc w:val="both"/>
        <w:rPr>
          <w:rFonts w:asciiTheme="majorBidi" w:eastAsiaTheme="minorEastAsia" w:hAnsiTheme="majorBidi" w:cstheme="majorBidi"/>
          <w:sz w:val="24"/>
          <w:szCs w:val="24"/>
          <w:shd w:val="clear" w:color="auto" w:fill="FFFFFF"/>
          <w:lang w:val="ro-RO" w:eastAsia="ru-RU"/>
        </w:rPr>
      </w:pPr>
      <w:r w:rsidRPr="00644D4E">
        <w:rPr>
          <w:rFonts w:asciiTheme="majorBidi" w:eastAsiaTheme="minorEastAsia" w:hAnsiTheme="majorBidi" w:cstheme="majorBidi"/>
          <w:sz w:val="24"/>
          <w:szCs w:val="24"/>
          <w:shd w:val="clear" w:color="auto" w:fill="FFFFFF"/>
          <w:lang w:val="ro-RO" w:eastAsia="ru-RU"/>
        </w:rPr>
        <w:t xml:space="preserve">numărul </w:t>
      </w:r>
      <w:r w:rsidRPr="00644D4E">
        <w:rPr>
          <w:rFonts w:asciiTheme="majorBidi" w:eastAsiaTheme="minorEastAsia" w:hAnsiTheme="majorBidi" w:cstheme="majorBidi"/>
          <w:bCs/>
          <w:sz w:val="24"/>
          <w:szCs w:val="24"/>
          <w:shd w:val="clear" w:color="auto" w:fill="FFFFFF"/>
          <w:lang w:val="ro-RO" w:eastAsia="ru-RU"/>
        </w:rPr>
        <w:t>tinerilor NEET</w:t>
      </w:r>
      <w:r w:rsidRPr="00644D4E">
        <w:rPr>
          <w:rFonts w:asciiTheme="majorBidi" w:eastAsiaTheme="minorEastAsia" w:hAnsiTheme="majorBidi" w:cstheme="majorBidi"/>
          <w:sz w:val="24"/>
          <w:szCs w:val="24"/>
          <w:shd w:val="clear" w:color="auto" w:fill="FFFFFF"/>
          <w:lang w:val="ro-RO" w:eastAsia="ru-RU"/>
        </w:rPr>
        <w:t xml:space="preserve"> a constituit </w:t>
      </w:r>
      <w:r w:rsidRPr="00644D4E">
        <w:rPr>
          <w:rFonts w:asciiTheme="majorBidi" w:eastAsiaTheme="minorEastAsia" w:hAnsiTheme="majorBidi" w:cstheme="majorBidi"/>
          <w:b/>
          <w:sz w:val="24"/>
          <w:szCs w:val="24"/>
          <w:shd w:val="clear" w:color="auto" w:fill="FFFFFF"/>
          <w:lang w:val="ro-RO" w:eastAsia="ru-RU"/>
        </w:rPr>
        <w:t>161,6 mii</w:t>
      </w:r>
      <w:r w:rsidRPr="00644D4E">
        <w:rPr>
          <w:rFonts w:asciiTheme="majorBidi" w:eastAsiaTheme="minorEastAsia" w:hAnsiTheme="majorBidi" w:cstheme="majorBidi"/>
          <w:sz w:val="24"/>
          <w:szCs w:val="24"/>
          <w:shd w:val="clear" w:color="auto" w:fill="FFFFFF"/>
          <w:lang w:val="ro-RO" w:eastAsia="ru-RU"/>
        </w:rPr>
        <w:t xml:space="preserve"> persoane, din care </w:t>
      </w:r>
      <w:r w:rsidRPr="00644D4E">
        <w:rPr>
          <w:rFonts w:asciiTheme="majorBidi" w:eastAsiaTheme="minorEastAsia" w:hAnsiTheme="majorBidi" w:cstheme="majorBidi"/>
          <w:b/>
          <w:sz w:val="24"/>
          <w:szCs w:val="24"/>
          <w:shd w:val="clear" w:color="auto" w:fill="FFFFFF"/>
          <w:lang w:val="ro-RO" w:eastAsia="ru-RU"/>
        </w:rPr>
        <w:t>13,8%</w:t>
      </w:r>
      <w:r w:rsidRPr="00644D4E">
        <w:rPr>
          <w:rFonts w:asciiTheme="majorBidi" w:eastAsiaTheme="minorEastAsia" w:hAnsiTheme="majorBidi" w:cstheme="majorBidi"/>
          <w:sz w:val="24"/>
          <w:szCs w:val="24"/>
          <w:shd w:val="clear" w:color="auto" w:fill="FFFFFF"/>
          <w:lang w:val="ro-RO" w:eastAsia="ru-RU"/>
        </w:rPr>
        <w:t xml:space="preserve"> erau din rândul tinerilor cu vârsta de 15-24 ani, </w:t>
      </w:r>
      <w:r w:rsidRPr="00644D4E">
        <w:rPr>
          <w:rFonts w:asciiTheme="majorBidi" w:eastAsiaTheme="minorEastAsia" w:hAnsiTheme="majorBidi" w:cstheme="majorBidi"/>
          <w:b/>
          <w:sz w:val="24"/>
          <w:szCs w:val="24"/>
          <w:shd w:val="clear" w:color="auto" w:fill="FFFFFF"/>
          <w:lang w:val="ro-RO" w:eastAsia="ru-RU"/>
        </w:rPr>
        <w:t>23,1%</w:t>
      </w:r>
      <w:r w:rsidRPr="00644D4E">
        <w:rPr>
          <w:rFonts w:asciiTheme="majorBidi" w:eastAsiaTheme="minorEastAsia" w:hAnsiTheme="majorBidi" w:cstheme="majorBidi"/>
          <w:sz w:val="24"/>
          <w:szCs w:val="24"/>
          <w:shd w:val="clear" w:color="auto" w:fill="FFFFFF"/>
          <w:lang w:val="ro-RO" w:eastAsia="ru-RU"/>
        </w:rPr>
        <w:t xml:space="preserve"> din rândul tinerilor de 15-29 ani și respectiv </w:t>
      </w:r>
      <w:r w:rsidRPr="00644D4E">
        <w:rPr>
          <w:rFonts w:asciiTheme="majorBidi" w:eastAsiaTheme="minorEastAsia" w:hAnsiTheme="majorBidi" w:cstheme="majorBidi"/>
          <w:b/>
          <w:sz w:val="24"/>
          <w:szCs w:val="24"/>
          <w:shd w:val="clear" w:color="auto" w:fill="FFFFFF"/>
          <w:lang w:val="ro-RO" w:eastAsia="ru-RU"/>
        </w:rPr>
        <w:t>27,6%</w:t>
      </w:r>
      <w:r w:rsidRPr="00644D4E">
        <w:rPr>
          <w:rFonts w:asciiTheme="majorBidi" w:eastAsiaTheme="minorEastAsia" w:hAnsiTheme="majorBidi" w:cstheme="majorBidi"/>
          <w:sz w:val="24"/>
          <w:szCs w:val="24"/>
          <w:shd w:val="clear" w:color="auto" w:fill="FFFFFF"/>
          <w:lang w:val="ro-RO" w:eastAsia="ru-RU"/>
        </w:rPr>
        <w:t xml:space="preserve"> din rândul celor de 15-34 ani. Comparativ cu anul 2022, acest indicator s-a micșorat pentru toate vârstele. </w:t>
      </w:r>
    </w:p>
    <w:p w14:paraId="5B0E19B9" w14:textId="77777777" w:rsidR="00EB3FFA" w:rsidRPr="00644D4E" w:rsidRDefault="00EB3FFA" w:rsidP="00EE547C">
      <w:pPr>
        <w:spacing w:after="120" w:line="240" w:lineRule="auto"/>
        <w:jc w:val="both"/>
        <w:rPr>
          <w:rFonts w:asciiTheme="majorBidi" w:hAnsiTheme="majorBidi" w:cstheme="majorBidi"/>
          <w:b/>
          <w:sz w:val="24"/>
          <w:szCs w:val="24"/>
          <w:lang w:val="ro-RO"/>
        </w:rPr>
      </w:pPr>
      <w:r w:rsidRPr="00644D4E">
        <w:rPr>
          <w:rFonts w:asciiTheme="majorBidi" w:hAnsiTheme="majorBidi" w:cstheme="majorBidi"/>
          <w:b/>
          <w:sz w:val="24"/>
          <w:szCs w:val="24"/>
          <w:lang w:val="ro-RO"/>
        </w:rPr>
        <w:t>Conform bazei de date ANOFM, pe parcursul anului 202</w:t>
      </w:r>
      <w:r w:rsidR="00947A4A" w:rsidRPr="00644D4E">
        <w:rPr>
          <w:rFonts w:asciiTheme="majorBidi" w:hAnsiTheme="majorBidi" w:cstheme="majorBidi"/>
          <w:b/>
          <w:sz w:val="24"/>
          <w:szCs w:val="24"/>
          <w:lang w:val="ro-RO"/>
        </w:rPr>
        <w:t>3</w:t>
      </w:r>
      <w:r w:rsidRPr="00644D4E">
        <w:rPr>
          <w:rFonts w:asciiTheme="majorBidi" w:hAnsiTheme="majorBidi" w:cstheme="majorBidi"/>
          <w:b/>
          <w:sz w:val="24"/>
          <w:szCs w:val="24"/>
          <w:lang w:val="ro-RO"/>
        </w:rPr>
        <w:t>:</w:t>
      </w:r>
    </w:p>
    <w:p w14:paraId="46FDA92B" w14:textId="77777777" w:rsidR="00EB3FFA" w:rsidRPr="00644D4E" w:rsidRDefault="00EB3FFA" w:rsidP="00EE547C">
      <w:pPr>
        <w:spacing w:after="120" w:line="240" w:lineRule="auto"/>
        <w:jc w:val="both"/>
        <w:rPr>
          <w:rFonts w:asciiTheme="majorBidi" w:hAnsiTheme="majorBidi" w:cstheme="majorBidi"/>
          <w:sz w:val="24"/>
          <w:szCs w:val="24"/>
          <w:lang w:val="ro-RO"/>
        </w:rPr>
      </w:pPr>
      <w:r w:rsidRPr="00644D4E">
        <w:rPr>
          <w:rFonts w:asciiTheme="majorBidi" w:hAnsiTheme="majorBidi" w:cstheme="majorBidi"/>
          <w:b/>
          <w:sz w:val="24"/>
          <w:szCs w:val="24"/>
          <w:lang w:val="ro-RO"/>
        </w:rPr>
        <w:t>au fost înregistrați</w:t>
      </w:r>
      <w:r w:rsidRPr="00644D4E">
        <w:rPr>
          <w:rFonts w:asciiTheme="majorBidi" w:hAnsiTheme="majorBidi" w:cstheme="majorBidi"/>
          <w:sz w:val="24"/>
          <w:szCs w:val="24"/>
          <w:lang w:val="ro-RO"/>
        </w:rPr>
        <w:t xml:space="preserve"> cu statut de șomer </w:t>
      </w:r>
      <w:r w:rsidR="00947A4A" w:rsidRPr="00644D4E">
        <w:rPr>
          <w:rFonts w:asciiTheme="majorBidi" w:hAnsiTheme="majorBidi" w:cstheme="majorBidi"/>
          <w:b/>
          <w:sz w:val="24"/>
          <w:szCs w:val="24"/>
          <w:lang w:val="ro-RO"/>
        </w:rPr>
        <w:t xml:space="preserve">26,5 </w:t>
      </w:r>
      <w:r w:rsidRPr="00644D4E">
        <w:rPr>
          <w:rFonts w:asciiTheme="majorBidi" w:hAnsiTheme="majorBidi" w:cstheme="majorBidi"/>
          <w:b/>
          <w:sz w:val="24"/>
          <w:szCs w:val="24"/>
          <w:lang w:val="ro-RO"/>
        </w:rPr>
        <w:t>mii</w:t>
      </w:r>
      <w:r w:rsidRPr="00644D4E">
        <w:rPr>
          <w:rFonts w:asciiTheme="majorBidi" w:hAnsiTheme="majorBidi" w:cstheme="majorBidi"/>
          <w:sz w:val="24"/>
          <w:szCs w:val="24"/>
          <w:lang w:val="ro-RO"/>
        </w:rPr>
        <w:t xml:space="preserve"> persoane în căutarea unui loc de muncă, ceea ce a constituit o scădere cu </w:t>
      </w:r>
      <w:r w:rsidR="00947A4A" w:rsidRPr="00644D4E">
        <w:rPr>
          <w:rFonts w:asciiTheme="majorBidi" w:hAnsiTheme="majorBidi" w:cstheme="majorBidi"/>
          <w:sz w:val="24"/>
          <w:szCs w:val="24"/>
          <w:lang w:val="ro-RO"/>
        </w:rPr>
        <w:t>24</w:t>
      </w:r>
      <w:r w:rsidRPr="00644D4E">
        <w:rPr>
          <w:rFonts w:asciiTheme="majorBidi" w:hAnsiTheme="majorBidi" w:cstheme="majorBidi"/>
          <w:sz w:val="24"/>
          <w:szCs w:val="24"/>
          <w:lang w:val="ro-RO"/>
        </w:rPr>
        <w:t>% față de anul 202</w:t>
      </w:r>
      <w:r w:rsidR="00947A4A" w:rsidRPr="00644D4E">
        <w:rPr>
          <w:rFonts w:asciiTheme="majorBidi" w:hAnsiTheme="majorBidi" w:cstheme="majorBidi"/>
          <w:sz w:val="24"/>
          <w:szCs w:val="24"/>
          <w:lang w:val="ro-RO"/>
        </w:rPr>
        <w:t>2</w:t>
      </w:r>
      <w:r w:rsidRPr="00644D4E">
        <w:rPr>
          <w:rFonts w:asciiTheme="majorBidi" w:hAnsiTheme="majorBidi" w:cstheme="majorBidi"/>
          <w:sz w:val="24"/>
          <w:szCs w:val="24"/>
          <w:lang w:val="ro-RO"/>
        </w:rPr>
        <w:t>, din care:</w:t>
      </w:r>
    </w:p>
    <w:p w14:paraId="0C4FC418" w14:textId="77777777" w:rsidR="00EB3FFA" w:rsidRPr="00644D4E" w:rsidRDefault="00EB3FFA" w:rsidP="00EE547C">
      <w:pPr>
        <w:spacing w:after="120" w:line="240" w:lineRule="auto"/>
        <w:jc w:val="both"/>
        <w:rPr>
          <w:rFonts w:asciiTheme="majorBidi" w:hAnsiTheme="majorBidi" w:cstheme="majorBidi"/>
          <w:sz w:val="24"/>
          <w:szCs w:val="24"/>
          <w:lang w:val="ro-RO"/>
        </w:rPr>
      </w:pPr>
      <w:r w:rsidRPr="00644D4E">
        <w:rPr>
          <w:rFonts w:asciiTheme="majorBidi" w:hAnsiTheme="majorBidi" w:cstheme="majorBidi"/>
          <w:sz w:val="24"/>
          <w:szCs w:val="24"/>
          <w:lang w:val="ro-RO"/>
        </w:rPr>
        <w:t xml:space="preserve">persoanele </w:t>
      </w:r>
      <w:r w:rsidRPr="00644D4E">
        <w:rPr>
          <w:rFonts w:asciiTheme="majorBidi" w:hAnsiTheme="majorBidi" w:cstheme="majorBidi"/>
          <w:b/>
          <w:sz w:val="24"/>
          <w:szCs w:val="24"/>
          <w:lang w:val="ro-RO"/>
        </w:rPr>
        <w:t>fără o calificare</w:t>
      </w:r>
      <w:r w:rsidRPr="00644D4E">
        <w:rPr>
          <w:rFonts w:asciiTheme="majorBidi" w:hAnsiTheme="majorBidi" w:cstheme="majorBidi"/>
          <w:sz w:val="24"/>
          <w:szCs w:val="24"/>
          <w:lang w:val="ro-RO"/>
        </w:rPr>
        <w:t xml:space="preserve"> profesională au constituit </w:t>
      </w:r>
      <w:r w:rsidRPr="00644D4E">
        <w:rPr>
          <w:rFonts w:asciiTheme="majorBidi" w:hAnsiTheme="majorBidi" w:cstheme="majorBidi"/>
          <w:b/>
          <w:sz w:val="24"/>
          <w:szCs w:val="24"/>
          <w:lang w:val="ro-RO"/>
        </w:rPr>
        <w:t>6</w:t>
      </w:r>
      <w:r w:rsidR="00947A4A" w:rsidRPr="00644D4E">
        <w:rPr>
          <w:rFonts w:asciiTheme="majorBidi" w:hAnsiTheme="majorBidi" w:cstheme="majorBidi"/>
          <w:b/>
          <w:sz w:val="24"/>
          <w:szCs w:val="24"/>
          <w:lang w:val="ro-RO"/>
        </w:rPr>
        <w:t>4</w:t>
      </w:r>
      <w:r w:rsidRPr="00644D4E">
        <w:rPr>
          <w:rFonts w:asciiTheme="majorBidi" w:hAnsiTheme="majorBidi" w:cstheme="majorBidi"/>
          <w:b/>
          <w:sz w:val="24"/>
          <w:szCs w:val="24"/>
          <w:lang w:val="ro-RO"/>
        </w:rPr>
        <w:t>%</w:t>
      </w:r>
      <w:r w:rsidRPr="00644D4E">
        <w:rPr>
          <w:rFonts w:asciiTheme="majorBidi" w:hAnsiTheme="majorBidi" w:cstheme="majorBidi"/>
          <w:sz w:val="24"/>
          <w:szCs w:val="24"/>
          <w:lang w:val="ro-RO"/>
        </w:rPr>
        <w:t xml:space="preserve">, cu </w:t>
      </w:r>
      <w:r w:rsidR="00947A4A" w:rsidRPr="00644D4E">
        <w:rPr>
          <w:rFonts w:asciiTheme="majorBidi" w:hAnsiTheme="majorBidi" w:cstheme="majorBidi"/>
          <w:sz w:val="24"/>
          <w:szCs w:val="24"/>
          <w:lang w:val="ro-RO"/>
        </w:rPr>
        <w:t>4</w:t>
      </w:r>
      <w:r w:rsidRPr="00644D4E">
        <w:rPr>
          <w:rFonts w:asciiTheme="majorBidi" w:hAnsiTheme="majorBidi" w:cstheme="majorBidi"/>
          <w:sz w:val="24"/>
          <w:szCs w:val="24"/>
          <w:lang w:val="ro-RO"/>
        </w:rPr>
        <w:t xml:space="preserve"> </w:t>
      </w:r>
      <w:proofErr w:type="spellStart"/>
      <w:r w:rsidRPr="00644D4E">
        <w:rPr>
          <w:rFonts w:asciiTheme="majorBidi" w:hAnsiTheme="majorBidi" w:cstheme="majorBidi"/>
          <w:sz w:val="24"/>
          <w:szCs w:val="24"/>
          <w:lang w:val="ro-RO"/>
        </w:rPr>
        <w:t>p.p.</w:t>
      </w:r>
      <w:proofErr w:type="spellEnd"/>
      <w:r w:rsidRPr="00644D4E">
        <w:rPr>
          <w:rFonts w:asciiTheme="majorBidi" w:hAnsiTheme="majorBidi" w:cstheme="majorBidi"/>
          <w:sz w:val="24"/>
          <w:szCs w:val="24"/>
          <w:lang w:val="ro-RO"/>
        </w:rPr>
        <w:t xml:space="preserve"> mai </w:t>
      </w:r>
      <w:r w:rsidR="00947A4A" w:rsidRPr="00644D4E">
        <w:rPr>
          <w:rFonts w:asciiTheme="majorBidi" w:hAnsiTheme="majorBidi" w:cstheme="majorBidi"/>
          <w:sz w:val="24"/>
          <w:szCs w:val="24"/>
          <w:lang w:val="ro-RO"/>
        </w:rPr>
        <w:t>puțin</w:t>
      </w:r>
      <w:r w:rsidRPr="00644D4E">
        <w:rPr>
          <w:rFonts w:asciiTheme="majorBidi" w:hAnsiTheme="majorBidi" w:cstheme="majorBidi"/>
          <w:sz w:val="24"/>
          <w:szCs w:val="24"/>
          <w:lang w:val="ro-RO"/>
        </w:rPr>
        <w:t xml:space="preserve"> ca în 202</w:t>
      </w:r>
      <w:r w:rsidR="00947A4A" w:rsidRPr="00644D4E">
        <w:rPr>
          <w:rFonts w:asciiTheme="majorBidi" w:hAnsiTheme="majorBidi" w:cstheme="majorBidi"/>
          <w:sz w:val="24"/>
          <w:szCs w:val="24"/>
          <w:lang w:val="ro-RO"/>
        </w:rPr>
        <w:t>2</w:t>
      </w:r>
      <w:r w:rsidRPr="00644D4E">
        <w:rPr>
          <w:rFonts w:asciiTheme="majorBidi" w:hAnsiTheme="majorBidi" w:cstheme="majorBidi"/>
          <w:sz w:val="24"/>
          <w:szCs w:val="24"/>
          <w:lang w:val="ro-RO"/>
        </w:rPr>
        <w:t xml:space="preserve">; </w:t>
      </w:r>
    </w:p>
    <w:p w14:paraId="6B228EA7" w14:textId="77777777" w:rsidR="00EA1080" w:rsidRPr="00644D4E" w:rsidRDefault="00EB3FFA" w:rsidP="00EE547C">
      <w:pPr>
        <w:spacing w:after="120" w:line="240" w:lineRule="auto"/>
        <w:jc w:val="both"/>
        <w:rPr>
          <w:rFonts w:asciiTheme="majorBidi" w:hAnsiTheme="majorBidi" w:cstheme="majorBidi"/>
          <w:sz w:val="24"/>
          <w:szCs w:val="24"/>
          <w:lang w:val="ro-RO"/>
        </w:rPr>
      </w:pPr>
      <w:r w:rsidRPr="00644D4E">
        <w:rPr>
          <w:rFonts w:asciiTheme="majorBidi" w:hAnsiTheme="majorBidi" w:cstheme="majorBidi"/>
          <w:b/>
          <w:sz w:val="24"/>
          <w:szCs w:val="24"/>
          <w:lang w:val="ro-RO"/>
        </w:rPr>
        <w:t>pe grupe de vârstă</w:t>
      </w:r>
      <w:r w:rsidRPr="00644D4E">
        <w:rPr>
          <w:rFonts w:asciiTheme="majorBidi" w:hAnsiTheme="majorBidi" w:cstheme="majorBidi"/>
          <w:sz w:val="24"/>
          <w:szCs w:val="24"/>
          <w:lang w:val="ro-RO"/>
        </w:rPr>
        <w:t>, comparativ cu anul 202</w:t>
      </w:r>
      <w:r w:rsidR="00947A4A" w:rsidRPr="00644D4E">
        <w:rPr>
          <w:rFonts w:asciiTheme="majorBidi" w:hAnsiTheme="majorBidi" w:cstheme="majorBidi"/>
          <w:sz w:val="24"/>
          <w:szCs w:val="24"/>
          <w:lang w:val="ro-RO"/>
        </w:rPr>
        <w:t>2</w:t>
      </w:r>
      <w:r w:rsidRPr="00644D4E">
        <w:rPr>
          <w:rFonts w:asciiTheme="majorBidi" w:hAnsiTheme="majorBidi" w:cstheme="majorBidi"/>
          <w:sz w:val="24"/>
          <w:szCs w:val="24"/>
          <w:lang w:val="ro-RO"/>
        </w:rPr>
        <w:t xml:space="preserve">, </w:t>
      </w:r>
      <w:r w:rsidR="00EA1080" w:rsidRPr="00644D4E">
        <w:rPr>
          <w:rFonts w:asciiTheme="majorBidi" w:hAnsiTheme="majorBidi" w:cstheme="majorBidi"/>
          <w:sz w:val="24"/>
          <w:szCs w:val="24"/>
          <w:lang w:val="ro-RO"/>
        </w:rPr>
        <w:t>se constată că cei mai mulți șomeri au fost cu vârsta cuprinsă între 35–49 ani (</w:t>
      </w:r>
      <w:r w:rsidR="00EA1080" w:rsidRPr="00644D4E">
        <w:rPr>
          <w:rFonts w:asciiTheme="majorBidi" w:hAnsiTheme="majorBidi" w:cstheme="majorBidi"/>
          <w:b/>
          <w:sz w:val="24"/>
          <w:szCs w:val="24"/>
          <w:lang w:val="ro-RO"/>
        </w:rPr>
        <w:t>39%)</w:t>
      </w:r>
      <w:r w:rsidR="00EA1080" w:rsidRPr="00644D4E">
        <w:rPr>
          <w:rFonts w:asciiTheme="majorBidi" w:hAnsiTheme="majorBidi" w:cstheme="majorBidi"/>
          <w:sz w:val="24"/>
          <w:szCs w:val="24"/>
          <w:lang w:val="ro-RO"/>
        </w:rPr>
        <w:t xml:space="preserve">, urmați de cei cu vârsta 56+ ani și 25–34 ani cu </w:t>
      </w:r>
      <w:r w:rsidR="00EA1080" w:rsidRPr="00644D4E">
        <w:rPr>
          <w:rFonts w:asciiTheme="majorBidi" w:hAnsiTheme="majorBidi" w:cstheme="majorBidi"/>
          <w:b/>
          <w:sz w:val="24"/>
          <w:szCs w:val="24"/>
          <w:lang w:val="ro-RO"/>
        </w:rPr>
        <w:t>19%</w:t>
      </w:r>
      <w:r w:rsidR="00EA1080" w:rsidRPr="00644D4E">
        <w:rPr>
          <w:rFonts w:asciiTheme="majorBidi" w:hAnsiTheme="majorBidi" w:cstheme="majorBidi"/>
          <w:sz w:val="24"/>
          <w:szCs w:val="24"/>
          <w:lang w:val="ro-RO"/>
        </w:rPr>
        <w:t>, 50–55 ani (</w:t>
      </w:r>
      <w:r w:rsidR="00EA1080" w:rsidRPr="00644D4E">
        <w:rPr>
          <w:rFonts w:asciiTheme="majorBidi" w:hAnsiTheme="majorBidi" w:cstheme="majorBidi"/>
          <w:b/>
          <w:sz w:val="24"/>
          <w:szCs w:val="24"/>
          <w:lang w:val="ro-RO"/>
        </w:rPr>
        <w:t>15%</w:t>
      </w:r>
      <w:r w:rsidR="00EA1080" w:rsidRPr="00644D4E">
        <w:rPr>
          <w:rFonts w:asciiTheme="majorBidi" w:hAnsiTheme="majorBidi" w:cstheme="majorBidi"/>
          <w:sz w:val="24"/>
          <w:szCs w:val="24"/>
          <w:lang w:val="ro-RO"/>
        </w:rPr>
        <w:t>) și cei de 16–24 ani (</w:t>
      </w:r>
      <w:r w:rsidR="00EA1080" w:rsidRPr="00644D4E">
        <w:rPr>
          <w:rFonts w:asciiTheme="majorBidi" w:hAnsiTheme="majorBidi" w:cstheme="majorBidi"/>
          <w:b/>
          <w:sz w:val="24"/>
          <w:szCs w:val="24"/>
          <w:lang w:val="ro-RO"/>
        </w:rPr>
        <w:t>8%)</w:t>
      </w:r>
      <w:r w:rsidR="00EA1080" w:rsidRPr="00644D4E">
        <w:rPr>
          <w:rFonts w:asciiTheme="majorBidi" w:hAnsiTheme="majorBidi" w:cstheme="majorBidi"/>
          <w:sz w:val="24"/>
          <w:szCs w:val="24"/>
          <w:lang w:val="ro-RO"/>
        </w:rPr>
        <w:t>. Spre deosebire de tendințele de scădere a ponderii persoanelor tinere, care se înregistrează la subdiviziunile teritoriale în căutarea unui loc de muncă pe parcursul ultimilor ani, în 2023 s-au inversat lucrurile, numărul persoanelor tinere este într-o creștere ușoară, iar a celor cu vârsta de 50+ în scădere</w:t>
      </w:r>
      <w:r w:rsidR="00947A4A" w:rsidRPr="00644D4E">
        <w:rPr>
          <w:rFonts w:asciiTheme="majorBidi" w:hAnsiTheme="majorBidi" w:cstheme="majorBidi"/>
          <w:sz w:val="24"/>
          <w:szCs w:val="24"/>
          <w:lang w:val="ro-RO"/>
        </w:rPr>
        <w:t>;</w:t>
      </w:r>
    </w:p>
    <w:p w14:paraId="27C796E1" w14:textId="77777777" w:rsidR="00EB3FFA" w:rsidRPr="00644D4E" w:rsidRDefault="00EB3FFA" w:rsidP="00EE547C">
      <w:pPr>
        <w:spacing w:after="120" w:line="240" w:lineRule="auto"/>
        <w:jc w:val="both"/>
        <w:rPr>
          <w:rFonts w:asciiTheme="majorBidi" w:hAnsiTheme="majorBidi" w:cstheme="majorBidi"/>
          <w:sz w:val="24"/>
          <w:szCs w:val="24"/>
          <w:lang w:val="ro-RO"/>
        </w:rPr>
      </w:pPr>
      <w:r w:rsidRPr="00644D4E">
        <w:rPr>
          <w:rFonts w:asciiTheme="majorBidi" w:hAnsiTheme="majorBidi" w:cstheme="majorBidi"/>
          <w:b/>
          <w:sz w:val="24"/>
          <w:szCs w:val="24"/>
          <w:lang w:val="ro-RO"/>
        </w:rPr>
        <w:t>conform studiilor</w:t>
      </w:r>
      <w:r w:rsidRPr="00644D4E">
        <w:rPr>
          <w:rFonts w:asciiTheme="majorBidi" w:hAnsiTheme="majorBidi" w:cstheme="majorBidi"/>
          <w:sz w:val="24"/>
          <w:szCs w:val="24"/>
          <w:lang w:val="ro-RO"/>
        </w:rPr>
        <w:t xml:space="preserve"> – preponderent sunt persoanele cu studii </w:t>
      </w:r>
      <w:r w:rsidRPr="00644D4E">
        <w:rPr>
          <w:rFonts w:asciiTheme="majorBidi" w:hAnsiTheme="majorBidi" w:cstheme="majorBidi"/>
          <w:b/>
          <w:sz w:val="24"/>
          <w:szCs w:val="24"/>
          <w:lang w:val="ro-RO"/>
        </w:rPr>
        <w:t>primare/gimnaziale</w:t>
      </w:r>
      <w:r w:rsidRPr="00644D4E">
        <w:rPr>
          <w:rFonts w:asciiTheme="majorBidi" w:hAnsiTheme="majorBidi" w:cstheme="majorBidi"/>
          <w:sz w:val="24"/>
          <w:szCs w:val="24"/>
          <w:lang w:val="ro-RO"/>
        </w:rPr>
        <w:t xml:space="preserve"> - </w:t>
      </w:r>
      <w:r w:rsidRPr="00644D4E">
        <w:rPr>
          <w:rFonts w:asciiTheme="majorBidi" w:hAnsiTheme="majorBidi" w:cstheme="majorBidi"/>
          <w:b/>
          <w:sz w:val="24"/>
          <w:szCs w:val="24"/>
          <w:lang w:val="ro-RO"/>
        </w:rPr>
        <w:t>5</w:t>
      </w:r>
      <w:r w:rsidR="00947A4A" w:rsidRPr="00644D4E">
        <w:rPr>
          <w:rFonts w:asciiTheme="majorBidi" w:hAnsiTheme="majorBidi" w:cstheme="majorBidi"/>
          <w:b/>
          <w:sz w:val="24"/>
          <w:szCs w:val="24"/>
          <w:lang w:val="ro-RO"/>
        </w:rPr>
        <w:t>3</w:t>
      </w:r>
      <w:r w:rsidRPr="00644D4E">
        <w:rPr>
          <w:rFonts w:asciiTheme="majorBidi" w:hAnsiTheme="majorBidi" w:cstheme="majorBidi"/>
          <w:b/>
          <w:sz w:val="24"/>
          <w:szCs w:val="24"/>
          <w:lang w:val="ro-RO"/>
        </w:rPr>
        <w:t>%</w:t>
      </w:r>
      <w:r w:rsidRPr="00644D4E">
        <w:rPr>
          <w:rFonts w:asciiTheme="majorBidi" w:hAnsiTheme="majorBidi" w:cstheme="majorBidi"/>
          <w:sz w:val="24"/>
          <w:szCs w:val="24"/>
          <w:lang w:val="ro-RO"/>
        </w:rPr>
        <w:t xml:space="preserve"> din total șomeri înregistrați, cu </w:t>
      </w:r>
      <w:r w:rsidR="00947A4A" w:rsidRPr="00644D4E">
        <w:rPr>
          <w:rFonts w:asciiTheme="majorBidi" w:hAnsiTheme="majorBidi" w:cstheme="majorBidi"/>
          <w:sz w:val="24"/>
          <w:szCs w:val="24"/>
          <w:lang w:val="ro-RO"/>
        </w:rPr>
        <w:t>5</w:t>
      </w:r>
      <w:r w:rsidRPr="00644D4E">
        <w:rPr>
          <w:rFonts w:asciiTheme="majorBidi" w:hAnsiTheme="majorBidi" w:cstheme="majorBidi"/>
          <w:sz w:val="24"/>
          <w:szCs w:val="24"/>
          <w:lang w:val="ro-RO"/>
        </w:rPr>
        <w:t xml:space="preserve"> </w:t>
      </w:r>
      <w:proofErr w:type="spellStart"/>
      <w:r w:rsidRPr="00644D4E">
        <w:rPr>
          <w:rFonts w:asciiTheme="majorBidi" w:hAnsiTheme="majorBidi" w:cstheme="majorBidi"/>
          <w:sz w:val="24"/>
          <w:szCs w:val="24"/>
          <w:lang w:val="ro-RO"/>
        </w:rPr>
        <w:t>p.p.</w:t>
      </w:r>
      <w:proofErr w:type="spellEnd"/>
      <w:r w:rsidRPr="00644D4E">
        <w:rPr>
          <w:rFonts w:asciiTheme="majorBidi" w:hAnsiTheme="majorBidi" w:cstheme="majorBidi"/>
          <w:sz w:val="24"/>
          <w:szCs w:val="24"/>
          <w:lang w:val="ro-RO"/>
        </w:rPr>
        <w:t xml:space="preserve"> în </w:t>
      </w:r>
      <w:r w:rsidR="00947A4A" w:rsidRPr="00644D4E">
        <w:rPr>
          <w:rFonts w:asciiTheme="majorBidi" w:hAnsiTheme="majorBidi" w:cstheme="majorBidi"/>
          <w:sz w:val="24"/>
          <w:szCs w:val="24"/>
          <w:lang w:val="ro-RO"/>
        </w:rPr>
        <w:t>scădere</w:t>
      </w:r>
      <w:r w:rsidRPr="00644D4E">
        <w:rPr>
          <w:rFonts w:asciiTheme="majorBidi" w:hAnsiTheme="majorBidi" w:cstheme="majorBidi"/>
          <w:sz w:val="24"/>
          <w:szCs w:val="24"/>
          <w:lang w:val="ro-RO"/>
        </w:rPr>
        <w:t xml:space="preserve"> față de 202</w:t>
      </w:r>
      <w:r w:rsidR="00947A4A" w:rsidRPr="00644D4E">
        <w:rPr>
          <w:rFonts w:asciiTheme="majorBidi" w:hAnsiTheme="majorBidi" w:cstheme="majorBidi"/>
          <w:sz w:val="24"/>
          <w:szCs w:val="24"/>
          <w:lang w:val="ro-RO"/>
        </w:rPr>
        <w:t>2</w:t>
      </w:r>
      <w:r w:rsidRPr="00644D4E">
        <w:rPr>
          <w:rFonts w:asciiTheme="majorBidi" w:hAnsiTheme="majorBidi" w:cstheme="majorBidi"/>
          <w:sz w:val="24"/>
          <w:szCs w:val="24"/>
          <w:lang w:val="ro-RO"/>
        </w:rPr>
        <w:t>;</w:t>
      </w:r>
    </w:p>
    <w:p w14:paraId="2EF3F31B" w14:textId="77777777" w:rsidR="00EB3FFA" w:rsidRPr="00644D4E" w:rsidRDefault="00EB3FFA" w:rsidP="00EE547C">
      <w:pPr>
        <w:spacing w:after="120" w:line="240" w:lineRule="auto"/>
        <w:jc w:val="both"/>
        <w:rPr>
          <w:rFonts w:asciiTheme="majorBidi" w:hAnsiTheme="majorBidi" w:cstheme="majorBidi"/>
          <w:sz w:val="24"/>
          <w:szCs w:val="24"/>
          <w:lang w:val="ro-RO"/>
        </w:rPr>
      </w:pPr>
      <w:r w:rsidRPr="00644D4E">
        <w:rPr>
          <w:rFonts w:asciiTheme="majorBidi" w:hAnsiTheme="majorBidi" w:cstheme="majorBidi"/>
          <w:b/>
          <w:sz w:val="24"/>
          <w:szCs w:val="24"/>
          <w:lang w:val="ro-RO"/>
        </w:rPr>
        <w:t>după medii de reședință</w:t>
      </w:r>
      <w:r w:rsidRPr="00644D4E">
        <w:rPr>
          <w:rFonts w:asciiTheme="majorBidi" w:hAnsiTheme="majorBidi" w:cstheme="majorBidi"/>
          <w:sz w:val="24"/>
          <w:szCs w:val="24"/>
          <w:lang w:val="ro-RO"/>
        </w:rPr>
        <w:t xml:space="preserve">, ponderea persoanelor din mediul </w:t>
      </w:r>
      <w:r w:rsidRPr="00644D4E">
        <w:rPr>
          <w:rFonts w:asciiTheme="majorBidi" w:hAnsiTheme="majorBidi" w:cstheme="majorBidi"/>
          <w:b/>
          <w:sz w:val="24"/>
          <w:szCs w:val="24"/>
          <w:lang w:val="ro-RO"/>
        </w:rPr>
        <w:t>rural</w:t>
      </w:r>
      <w:r w:rsidRPr="00644D4E">
        <w:rPr>
          <w:rFonts w:asciiTheme="majorBidi" w:hAnsiTheme="majorBidi" w:cstheme="majorBidi"/>
          <w:sz w:val="24"/>
          <w:szCs w:val="24"/>
          <w:lang w:val="ro-RO"/>
        </w:rPr>
        <w:t xml:space="preserve"> este predominant (6</w:t>
      </w:r>
      <w:r w:rsidR="00947A4A" w:rsidRPr="00644D4E">
        <w:rPr>
          <w:rFonts w:asciiTheme="majorBidi" w:hAnsiTheme="majorBidi" w:cstheme="majorBidi"/>
          <w:sz w:val="24"/>
          <w:szCs w:val="24"/>
          <w:lang w:val="ro-RO"/>
        </w:rPr>
        <w:t>3</w:t>
      </w:r>
      <w:r w:rsidRPr="00644D4E">
        <w:rPr>
          <w:rFonts w:asciiTheme="majorBidi" w:hAnsiTheme="majorBidi" w:cstheme="majorBidi"/>
          <w:sz w:val="24"/>
          <w:szCs w:val="24"/>
          <w:lang w:val="ro-RO"/>
        </w:rPr>
        <w:t xml:space="preserve">%) și a </w:t>
      </w:r>
      <w:r w:rsidR="00947A4A" w:rsidRPr="00644D4E">
        <w:rPr>
          <w:rFonts w:asciiTheme="majorBidi" w:hAnsiTheme="majorBidi" w:cstheme="majorBidi"/>
          <w:sz w:val="24"/>
          <w:szCs w:val="24"/>
          <w:lang w:val="ro-RO"/>
        </w:rPr>
        <w:t>scăzut</w:t>
      </w:r>
      <w:r w:rsidRPr="00644D4E">
        <w:rPr>
          <w:rFonts w:asciiTheme="majorBidi" w:hAnsiTheme="majorBidi" w:cstheme="majorBidi"/>
          <w:sz w:val="24"/>
          <w:szCs w:val="24"/>
          <w:lang w:val="ro-RO"/>
        </w:rPr>
        <w:t xml:space="preserve"> cu </w:t>
      </w:r>
      <w:r w:rsidR="00947A4A" w:rsidRPr="00644D4E">
        <w:rPr>
          <w:rFonts w:asciiTheme="majorBidi" w:hAnsiTheme="majorBidi" w:cstheme="majorBidi"/>
          <w:sz w:val="24"/>
          <w:szCs w:val="24"/>
          <w:lang w:val="ro-RO"/>
        </w:rPr>
        <w:t>4</w:t>
      </w:r>
      <w:r w:rsidRPr="00644D4E">
        <w:rPr>
          <w:rFonts w:asciiTheme="majorBidi" w:hAnsiTheme="majorBidi" w:cstheme="majorBidi"/>
          <w:sz w:val="24"/>
          <w:szCs w:val="24"/>
          <w:lang w:val="ro-RO"/>
        </w:rPr>
        <w:t xml:space="preserve"> </w:t>
      </w:r>
      <w:proofErr w:type="spellStart"/>
      <w:r w:rsidRPr="00644D4E">
        <w:rPr>
          <w:rFonts w:asciiTheme="majorBidi" w:hAnsiTheme="majorBidi" w:cstheme="majorBidi"/>
          <w:sz w:val="24"/>
          <w:szCs w:val="24"/>
          <w:lang w:val="ro-RO"/>
        </w:rPr>
        <w:t>p.p.</w:t>
      </w:r>
      <w:proofErr w:type="spellEnd"/>
      <w:r w:rsidRPr="00644D4E">
        <w:rPr>
          <w:rFonts w:asciiTheme="majorBidi" w:hAnsiTheme="majorBidi" w:cstheme="majorBidi"/>
          <w:sz w:val="24"/>
          <w:szCs w:val="24"/>
          <w:lang w:val="ro-RO"/>
        </w:rPr>
        <w:t xml:space="preserve"> față de 202</w:t>
      </w:r>
      <w:r w:rsidR="00947A4A" w:rsidRPr="00644D4E">
        <w:rPr>
          <w:rFonts w:asciiTheme="majorBidi" w:hAnsiTheme="majorBidi" w:cstheme="majorBidi"/>
          <w:sz w:val="24"/>
          <w:szCs w:val="24"/>
          <w:lang w:val="ro-RO"/>
        </w:rPr>
        <w:t>2</w:t>
      </w:r>
      <w:r w:rsidRPr="00644D4E">
        <w:rPr>
          <w:rFonts w:asciiTheme="majorBidi" w:hAnsiTheme="majorBidi" w:cstheme="majorBidi"/>
          <w:sz w:val="24"/>
          <w:szCs w:val="24"/>
          <w:lang w:val="ro-RO"/>
        </w:rPr>
        <w:t xml:space="preserve"> (</w:t>
      </w:r>
      <w:r w:rsidRPr="00644D4E">
        <w:rPr>
          <w:rFonts w:asciiTheme="majorBidi" w:hAnsiTheme="majorBidi" w:cstheme="majorBidi"/>
          <w:b/>
          <w:sz w:val="24"/>
          <w:szCs w:val="24"/>
          <w:lang w:val="ro-RO"/>
        </w:rPr>
        <w:t>6</w:t>
      </w:r>
      <w:r w:rsidR="00947A4A" w:rsidRPr="00644D4E">
        <w:rPr>
          <w:rFonts w:asciiTheme="majorBidi" w:hAnsiTheme="majorBidi" w:cstheme="majorBidi"/>
          <w:b/>
          <w:sz w:val="24"/>
          <w:szCs w:val="24"/>
          <w:lang w:val="ro-RO"/>
        </w:rPr>
        <w:t>7</w:t>
      </w:r>
      <w:r w:rsidRPr="00644D4E">
        <w:rPr>
          <w:rFonts w:asciiTheme="majorBidi" w:hAnsiTheme="majorBidi" w:cstheme="majorBidi"/>
          <w:b/>
          <w:sz w:val="24"/>
          <w:szCs w:val="24"/>
          <w:lang w:val="ro-RO"/>
        </w:rPr>
        <w:t>%</w:t>
      </w:r>
      <w:r w:rsidRPr="00644D4E">
        <w:rPr>
          <w:rFonts w:asciiTheme="majorBidi" w:hAnsiTheme="majorBidi" w:cstheme="majorBidi"/>
          <w:sz w:val="24"/>
          <w:szCs w:val="24"/>
          <w:lang w:val="ro-RO"/>
        </w:rPr>
        <w:t xml:space="preserve">); </w:t>
      </w:r>
    </w:p>
    <w:p w14:paraId="5FC22394" w14:textId="260182A8" w:rsidR="00EB3FFA" w:rsidRPr="00644D4E" w:rsidRDefault="00EB3FFA" w:rsidP="00EE547C">
      <w:pPr>
        <w:spacing w:after="120" w:line="240" w:lineRule="auto"/>
        <w:jc w:val="both"/>
        <w:rPr>
          <w:rFonts w:asciiTheme="majorBidi" w:hAnsiTheme="majorBidi" w:cstheme="majorBidi"/>
          <w:sz w:val="24"/>
          <w:szCs w:val="24"/>
          <w:lang w:val="ro-RO"/>
        </w:rPr>
      </w:pPr>
      <w:r w:rsidRPr="00644D4E">
        <w:rPr>
          <w:rFonts w:asciiTheme="majorBidi" w:hAnsiTheme="majorBidi" w:cstheme="majorBidi"/>
          <w:sz w:val="24"/>
          <w:szCs w:val="24"/>
          <w:lang w:val="ro-RO"/>
        </w:rPr>
        <w:lastRenderedPageBreak/>
        <w:t>din total șomeri</w:t>
      </w:r>
      <w:r w:rsidR="009367CA" w:rsidRPr="00644D4E">
        <w:rPr>
          <w:rFonts w:asciiTheme="majorBidi" w:hAnsiTheme="majorBidi" w:cstheme="majorBidi"/>
          <w:sz w:val="24"/>
          <w:szCs w:val="24"/>
          <w:lang w:val="ro-RO"/>
        </w:rPr>
        <w:t>lor</w:t>
      </w:r>
      <w:r w:rsidRPr="00644D4E">
        <w:rPr>
          <w:rFonts w:asciiTheme="majorBidi" w:hAnsiTheme="majorBidi" w:cstheme="majorBidi"/>
          <w:sz w:val="24"/>
          <w:szCs w:val="24"/>
          <w:lang w:val="ro-RO"/>
        </w:rPr>
        <w:t xml:space="preserve"> înregistrați au fost </w:t>
      </w:r>
      <w:r w:rsidRPr="00644D4E">
        <w:rPr>
          <w:rFonts w:asciiTheme="majorBidi" w:hAnsiTheme="majorBidi" w:cstheme="majorBidi"/>
          <w:b/>
          <w:sz w:val="24"/>
          <w:szCs w:val="24"/>
          <w:lang w:val="ro-RO"/>
        </w:rPr>
        <w:t>plasați</w:t>
      </w:r>
      <w:r w:rsidRPr="00644D4E">
        <w:rPr>
          <w:rFonts w:asciiTheme="majorBidi" w:hAnsiTheme="majorBidi" w:cstheme="majorBidi"/>
          <w:sz w:val="24"/>
          <w:szCs w:val="24"/>
          <w:lang w:val="ro-RO"/>
        </w:rPr>
        <w:t xml:space="preserve"> în câmpul muncii </w:t>
      </w:r>
      <w:r w:rsidRPr="00644D4E">
        <w:rPr>
          <w:rFonts w:asciiTheme="majorBidi" w:hAnsiTheme="majorBidi" w:cstheme="majorBidi"/>
          <w:b/>
          <w:sz w:val="24"/>
          <w:szCs w:val="24"/>
          <w:lang w:val="ro-RO"/>
        </w:rPr>
        <w:t>8,</w:t>
      </w:r>
      <w:r w:rsidR="00947A4A" w:rsidRPr="00644D4E">
        <w:rPr>
          <w:rFonts w:asciiTheme="majorBidi" w:hAnsiTheme="majorBidi" w:cstheme="majorBidi"/>
          <w:b/>
          <w:sz w:val="24"/>
          <w:szCs w:val="24"/>
          <w:lang w:val="ro-RO"/>
        </w:rPr>
        <w:t>9</w:t>
      </w:r>
      <w:r w:rsidRPr="00644D4E">
        <w:rPr>
          <w:rFonts w:asciiTheme="majorBidi" w:hAnsiTheme="majorBidi" w:cstheme="majorBidi"/>
          <w:b/>
          <w:sz w:val="24"/>
          <w:szCs w:val="24"/>
          <w:lang w:val="ro-RO"/>
        </w:rPr>
        <w:t xml:space="preserve"> mii </w:t>
      </w:r>
      <w:r w:rsidRPr="00644D4E">
        <w:rPr>
          <w:rFonts w:asciiTheme="majorBidi" w:hAnsiTheme="majorBidi" w:cstheme="majorBidi"/>
          <w:sz w:val="24"/>
          <w:szCs w:val="24"/>
          <w:lang w:val="ro-RO"/>
        </w:rPr>
        <w:t xml:space="preserve">șomeri, fiind </w:t>
      </w:r>
      <w:r w:rsidR="00751EC0" w:rsidRPr="00644D4E">
        <w:rPr>
          <w:rFonts w:asciiTheme="majorBidi" w:hAnsiTheme="majorBidi" w:cstheme="majorBidi"/>
          <w:sz w:val="24"/>
          <w:szCs w:val="24"/>
          <w:lang w:val="ro-RO"/>
        </w:rPr>
        <w:t xml:space="preserve">în creștere cu 10 </w:t>
      </w:r>
      <w:proofErr w:type="spellStart"/>
      <w:r w:rsidR="00751EC0" w:rsidRPr="00644D4E">
        <w:rPr>
          <w:rFonts w:asciiTheme="majorBidi" w:hAnsiTheme="majorBidi" w:cstheme="majorBidi"/>
          <w:sz w:val="24"/>
          <w:szCs w:val="24"/>
          <w:lang w:val="ro-RO"/>
        </w:rPr>
        <w:t>p.p.</w:t>
      </w:r>
      <w:proofErr w:type="spellEnd"/>
      <w:r w:rsidR="00751EC0" w:rsidRPr="00644D4E">
        <w:rPr>
          <w:rFonts w:asciiTheme="majorBidi" w:hAnsiTheme="majorBidi" w:cstheme="majorBidi"/>
          <w:sz w:val="24"/>
          <w:szCs w:val="24"/>
          <w:lang w:val="ro-RO"/>
        </w:rPr>
        <w:t xml:space="preserve"> comparativ cu anul</w:t>
      </w:r>
      <w:r w:rsidRPr="00644D4E">
        <w:rPr>
          <w:rFonts w:asciiTheme="majorBidi" w:hAnsiTheme="majorBidi" w:cstheme="majorBidi"/>
          <w:sz w:val="24"/>
          <w:szCs w:val="24"/>
          <w:lang w:val="ro-RO"/>
        </w:rPr>
        <w:t xml:space="preserve"> 202</w:t>
      </w:r>
      <w:r w:rsidR="00751EC0" w:rsidRPr="00644D4E">
        <w:rPr>
          <w:rFonts w:asciiTheme="majorBidi" w:hAnsiTheme="majorBidi" w:cstheme="majorBidi"/>
          <w:sz w:val="24"/>
          <w:szCs w:val="24"/>
          <w:lang w:val="ro-RO"/>
        </w:rPr>
        <w:t>2</w:t>
      </w:r>
      <w:r w:rsidRPr="00644D4E">
        <w:rPr>
          <w:rFonts w:asciiTheme="majorBidi" w:hAnsiTheme="majorBidi" w:cstheme="majorBidi"/>
          <w:sz w:val="24"/>
          <w:szCs w:val="24"/>
          <w:lang w:val="ro-RO"/>
        </w:rPr>
        <w:t>;</w:t>
      </w:r>
    </w:p>
    <w:p w14:paraId="35DBDDA0" w14:textId="77777777" w:rsidR="00EB3FFA" w:rsidRPr="00644D4E" w:rsidRDefault="00EB3FFA" w:rsidP="00EE547C">
      <w:pPr>
        <w:spacing w:after="120" w:line="240" w:lineRule="auto"/>
        <w:jc w:val="both"/>
        <w:rPr>
          <w:rFonts w:asciiTheme="majorBidi" w:hAnsiTheme="majorBidi" w:cstheme="majorBidi"/>
          <w:sz w:val="24"/>
          <w:szCs w:val="24"/>
          <w:lang w:val="ro-RO"/>
        </w:rPr>
      </w:pPr>
      <w:r w:rsidRPr="00644D4E">
        <w:rPr>
          <w:rFonts w:asciiTheme="majorBidi" w:hAnsiTheme="majorBidi" w:cstheme="majorBidi"/>
          <w:sz w:val="24"/>
          <w:szCs w:val="24"/>
          <w:lang w:val="ro-RO"/>
        </w:rPr>
        <w:t xml:space="preserve">au fost înregistrate </w:t>
      </w:r>
      <w:r w:rsidRPr="00644D4E">
        <w:rPr>
          <w:rFonts w:asciiTheme="majorBidi" w:hAnsiTheme="majorBidi" w:cstheme="majorBidi"/>
          <w:b/>
          <w:sz w:val="24"/>
          <w:szCs w:val="24"/>
          <w:lang w:val="ro-RO"/>
        </w:rPr>
        <w:t>32,</w:t>
      </w:r>
      <w:r w:rsidR="00751EC0" w:rsidRPr="00644D4E">
        <w:rPr>
          <w:rFonts w:asciiTheme="majorBidi" w:hAnsiTheme="majorBidi" w:cstheme="majorBidi"/>
          <w:b/>
          <w:sz w:val="24"/>
          <w:szCs w:val="24"/>
          <w:lang w:val="ro-RO"/>
        </w:rPr>
        <w:t>2</w:t>
      </w:r>
      <w:r w:rsidRPr="00644D4E">
        <w:rPr>
          <w:rFonts w:asciiTheme="majorBidi" w:hAnsiTheme="majorBidi" w:cstheme="majorBidi"/>
          <w:sz w:val="24"/>
          <w:szCs w:val="24"/>
          <w:lang w:val="ro-RO"/>
        </w:rPr>
        <w:t xml:space="preserve"> mii locuri vacante</w:t>
      </w:r>
      <w:r w:rsidR="00751EC0" w:rsidRPr="00644D4E">
        <w:rPr>
          <w:rFonts w:asciiTheme="majorBidi" w:hAnsiTheme="majorBidi" w:cstheme="majorBidi"/>
          <w:sz w:val="24"/>
          <w:szCs w:val="24"/>
          <w:lang w:val="ro-RO"/>
        </w:rPr>
        <w:t>,</w:t>
      </w:r>
      <w:r w:rsidRPr="00644D4E">
        <w:rPr>
          <w:rFonts w:asciiTheme="majorBidi" w:hAnsiTheme="majorBidi" w:cstheme="majorBidi"/>
          <w:sz w:val="24"/>
          <w:szCs w:val="24"/>
          <w:lang w:val="ro-RO"/>
        </w:rPr>
        <w:t xml:space="preserve"> comparativ cu anul precedent</w:t>
      </w:r>
      <w:r w:rsidR="00751EC0" w:rsidRPr="00644D4E">
        <w:rPr>
          <w:rFonts w:asciiTheme="majorBidi" w:hAnsiTheme="majorBidi" w:cstheme="majorBidi"/>
          <w:sz w:val="24"/>
          <w:szCs w:val="24"/>
          <w:lang w:val="ro-RO"/>
        </w:rPr>
        <w:t xml:space="preserve"> nu sunt schimbări semnificative;</w:t>
      </w:r>
    </w:p>
    <w:p w14:paraId="4ED21C70" w14:textId="77777777" w:rsidR="00EA1080" w:rsidRPr="00644D4E" w:rsidRDefault="00EB3FFA" w:rsidP="00EE547C">
      <w:pPr>
        <w:pStyle w:val="NoSpacing"/>
        <w:spacing w:after="120"/>
        <w:jc w:val="both"/>
        <w:rPr>
          <w:rFonts w:asciiTheme="majorBidi" w:hAnsiTheme="majorBidi" w:cstheme="majorBidi"/>
          <w:sz w:val="24"/>
          <w:szCs w:val="24"/>
          <w:lang w:val="ro-RO"/>
        </w:rPr>
      </w:pPr>
      <w:r w:rsidRPr="00644D4E">
        <w:rPr>
          <w:rFonts w:asciiTheme="majorBidi" w:hAnsiTheme="majorBidi" w:cstheme="majorBidi"/>
          <w:sz w:val="24"/>
          <w:szCs w:val="24"/>
          <w:lang w:val="ro-RO"/>
        </w:rPr>
        <w:t xml:space="preserve">conform </w:t>
      </w:r>
      <w:r w:rsidRPr="00644D4E">
        <w:rPr>
          <w:rFonts w:asciiTheme="majorBidi" w:hAnsiTheme="majorBidi" w:cstheme="majorBidi"/>
          <w:b/>
          <w:sz w:val="24"/>
          <w:szCs w:val="24"/>
          <w:lang w:val="ro-RO"/>
        </w:rPr>
        <w:t>studiilor</w:t>
      </w:r>
      <w:r w:rsidRPr="00644D4E">
        <w:rPr>
          <w:rFonts w:asciiTheme="majorBidi" w:hAnsiTheme="majorBidi" w:cstheme="majorBidi"/>
          <w:sz w:val="24"/>
          <w:szCs w:val="24"/>
          <w:lang w:val="ro-RO"/>
        </w:rPr>
        <w:t>,</w:t>
      </w:r>
      <w:r w:rsidR="00751EC0" w:rsidRPr="00644D4E">
        <w:rPr>
          <w:rFonts w:asciiTheme="majorBidi" w:hAnsiTheme="majorBidi" w:cstheme="majorBidi"/>
          <w:sz w:val="24"/>
          <w:szCs w:val="24"/>
          <w:lang w:val="ro-RO"/>
        </w:rPr>
        <w:t xml:space="preserve"> </w:t>
      </w:r>
      <w:r w:rsidR="00EA1080" w:rsidRPr="00644D4E">
        <w:rPr>
          <w:rFonts w:asciiTheme="majorBidi" w:hAnsiTheme="majorBidi" w:cstheme="majorBidi"/>
          <w:sz w:val="24"/>
          <w:szCs w:val="24"/>
          <w:lang w:val="ro-RO"/>
        </w:rPr>
        <w:t>cele mai multe locuri de muncă vacante înregistrate solicită studii primare/gimnaziale (</w:t>
      </w:r>
      <w:r w:rsidR="00EA1080" w:rsidRPr="00644D4E">
        <w:rPr>
          <w:rFonts w:asciiTheme="majorBidi" w:hAnsiTheme="majorBidi" w:cstheme="majorBidi"/>
          <w:b/>
          <w:sz w:val="24"/>
          <w:szCs w:val="24"/>
          <w:lang w:val="ro-RO"/>
        </w:rPr>
        <w:t>36%</w:t>
      </w:r>
      <w:r w:rsidR="00EA1080" w:rsidRPr="00644D4E">
        <w:rPr>
          <w:rFonts w:asciiTheme="majorBidi" w:hAnsiTheme="majorBidi" w:cstheme="majorBidi"/>
          <w:sz w:val="24"/>
          <w:szCs w:val="24"/>
          <w:lang w:val="ro-RO"/>
        </w:rPr>
        <w:t>), urmate de liceale/medii generale (</w:t>
      </w:r>
      <w:r w:rsidR="00EA1080" w:rsidRPr="00644D4E">
        <w:rPr>
          <w:rFonts w:asciiTheme="majorBidi" w:hAnsiTheme="majorBidi" w:cstheme="majorBidi"/>
          <w:b/>
          <w:sz w:val="24"/>
          <w:szCs w:val="24"/>
          <w:lang w:val="ro-RO"/>
        </w:rPr>
        <w:t>32%</w:t>
      </w:r>
      <w:r w:rsidR="00EA1080" w:rsidRPr="00644D4E">
        <w:rPr>
          <w:rFonts w:asciiTheme="majorBidi" w:hAnsiTheme="majorBidi" w:cstheme="majorBidi"/>
          <w:sz w:val="24"/>
          <w:szCs w:val="24"/>
          <w:lang w:val="ro-RO"/>
        </w:rPr>
        <w:t>), secundar-profesionale (</w:t>
      </w:r>
      <w:r w:rsidR="00EA1080" w:rsidRPr="00644D4E">
        <w:rPr>
          <w:rFonts w:asciiTheme="majorBidi" w:hAnsiTheme="majorBidi" w:cstheme="majorBidi"/>
          <w:b/>
          <w:sz w:val="24"/>
          <w:szCs w:val="24"/>
          <w:lang w:val="ro-RO"/>
        </w:rPr>
        <w:t>16%</w:t>
      </w:r>
      <w:r w:rsidR="00EA1080" w:rsidRPr="00644D4E">
        <w:rPr>
          <w:rFonts w:asciiTheme="majorBidi" w:hAnsiTheme="majorBidi" w:cstheme="majorBidi"/>
          <w:sz w:val="24"/>
          <w:szCs w:val="24"/>
          <w:lang w:val="ro-RO"/>
        </w:rPr>
        <w:t>), superioare (</w:t>
      </w:r>
      <w:r w:rsidR="00EA1080" w:rsidRPr="00644D4E">
        <w:rPr>
          <w:rFonts w:asciiTheme="majorBidi" w:hAnsiTheme="majorBidi" w:cstheme="majorBidi"/>
          <w:b/>
          <w:sz w:val="24"/>
          <w:szCs w:val="24"/>
          <w:lang w:val="ro-RO"/>
        </w:rPr>
        <w:t>12%</w:t>
      </w:r>
      <w:r w:rsidR="00EA1080" w:rsidRPr="00644D4E">
        <w:rPr>
          <w:rFonts w:asciiTheme="majorBidi" w:hAnsiTheme="majorBidi" w:cstheme="majorBidi"/>
          <w:sz w:val="24"/>
          <w:szCs w:val="24"/>
          <w:lang w:val="ro-RO"/>
        </w:rPr>
        <w:t>) și medii speciale (</w:t>
      </w:r>
      <w:r w:rsidR="00EA1080" w:rsidRPr="00644D4E">
        <w:rPr>
          <w:rFonts w:asciiTheme="majorBidi" w:hAnsiTheme="majorBidi" w:cstheme="majorBidi"/>
          <w:b/>
          <w:sz w:val="24"/>
          <w:szCs w:val="24"/>
          <w:lang w:val="ro-RO"/>
        </w:rPr>
        <w:t>4%</w:t>
      </w:r>
      <w:r w:rsidR="00EA1080" w:rsidRPr="00644D4E">
        <w:rPr>
          <w:rFonts w:asciiTheme="majorBidi" w:hAnsiTheme="majorBidi" w:cstheme="majorBidi"/>
          <w:sz w:val="24"/>
          <w:szCs w:val="24"/>
          <w:lang w:val="ro-RO"/>
        </w:rPr>
        <w:t>)</w:t>
      </w:r>
      <w:r w:rsidR="00751EC0" w:rsidRPr="00644D4E">
        <w:rPr>
          <w:rFonts w:asciiTheme="majorBidi" w:hAnsiTheme="majorBidi" w:cstheme="majorBidi"/>
          <w:sz w:val="24"/>
          <w:szCs w:val="24"/>
          <w:lang w:val="ro-RO"/>
        </w:rPr>
        <w:t>;</w:t>
      </w:r>
      <w:r w:rsidR="00EA1080" w:rsidRPr="00644D4E">
        <w:rPr>
          <w:rFonts w:asciiTheme="majorBidi" w:hAnsiTheme="majorBidi" w:cstheme="majorBidi"/>
          <w:sz w:val="24"/>
          <w:szCs w:val="24"/>
          <w:lang w:val="ro-RO"/>
        </w:rPr>
        <w:t xml:space="preserve"> </w:t>
      </w:r>
    </w:p>
    <w:p w14:paraId="6D99E24E" w14:textId="77777777" w:rsidR="00EB3FFA" w:rsidRPr="00644D4E" w:rsidRDefault="00EB3FFA" w:rsidP="00EE547C">
      <w:pPr>
        <w:pStyle w:val="NoSpacing"/>
        <w:spacing w:after="120"/>
        <w:jc w:val="both"/>
        <w:rPr>
          <w:rFonts w:asciiTheme="majorBidi" w:hAnsiTheme="majorBidi" w:cstheme="majorBidi"/>
          <w:sz w:val="24"/>
          <w:szCs w:val="24"/>
          <w:lang w:val="ro-RO"/>
        </w:rPr>
      </w:pPr>
      <w:r w:rsidRPr="00644D4E">
        <w:rPr>
          <w:rFonts w:asciiTheme="majorBidi" w:hAnsiTheme="majorBidi" w:cstheme="majorBidi"/>
          <w:sz w:val="24"/>
          <w:szCs w:val="24"/>
          <w:lang w:val="ro-RO"/>
        </w:rPr>
        <w:t xml:space="preserve">conform </w:t>
      </w:r>
      <w:r w:rsidRPr="00644D4E">
        <w:rPr>
          <w:rFonts w:asciiTheme="majorBidi" w:hAnsiTheme="majorBidi" w:cstheme="majorBidi"/>
          <w:b/>
          <w:sz w:val="24"/>
          <w:szCs w:val="24"/>
          <w:lang w:val="ro-RO"/>
        </w:rPr>
        <w:t xml:space="preserve">ocupațiilor </w:t>
      </w:r>
      <w:r w:rsidRPr="00644D4E">
        <w:rPr>
          <w:rFonts w:asciiTheme="majorBidi" w:hAnsiTheme="majorBidi" w:cstheme="majorBidi"/>
          <w:sz w:val="24"/>
          <w:szCs w:val="24"/>
          <w:lang w:val="ro-RO"/>
        </w:rPr>
        <w:t xml:space="preserve">ponderea cea mai mare din numărul total de locuri de muncă vacante o ocupă </w:t>
      </w:r>
      <w:r w:rsidRPr="00644D4E">
        <w:rPr>
          <w:rFonts w:asciiTheme="majorBidi" w:hAnsiTheme="majorBidi" w:cstheme="majorBidi"/>
          <w:i/>
          <w:sz w:val="24"/>
          <w:szCs w:val="24"/>
          <w:lang w:val="ro-RO"/>
        </w:rPr>
        <w:t>Muncitorii calificați</w:t>
      </w:r>
      <w:r w:rsidRPr="00644D4E">
        <w:rPr>
          <w:rFonts w:asciiTheme="majorBidi" w:hAnsiTheme="majorBidi" w:cstheme="majorBidi"/>
          <w:sz w:val="24"/>
          <w:szCs w:val="24"/>
          <w:lang w:val="ro-RO"/>
        </w:rPr>
        <w:t xml:space="preserve"> </w:t>
      </w:r>
      <w:r w:rsidRPr="00644D4E">
        <w:rPr>
          <w:rFonts w:asciiTheme="majorBidi" w:hAnsiTheme="majorBidi" w:cstheme="majorBidi"/>
          <w:i/>
          <w:sz w:val="24"/>
          <w:szCs w:val="24"/>
          <w:lang w:val="ro-RO"/>
        </w:rPr>
        <w:t>și asimilați</w:t>
      </w:r>
      <w:r w:rsidRPr="00644D4E">
        <w:rPr>
          <w:rFonts w:asciiTheme="majorBidi" w:hAnsiTheme="majorBidi" w:cstheme="majorBidi"/>
          <w:sz w:val="24"/>
          <w:szCs w:val="24"/>
          <w:lang w:val="ro-RO"/>
        </w:rPr>
        <w:t xml:space="preserve"> (</w:t>
      </w:r>
      <w:r w:rsidR="00F945BC" w:rsidRPr="00644D4E">
        <w:rPr>
          <w:rFonts w:asciiTheme="majorBidi" w:hAnsiTheme="majorBidi" w:cstheme="majorBidi"/>
          <w:b/>
          <w:sz w:val="24"/>
          <w:szCs w:val="24"/>
          <w:lang w:val="ro-RO"/>
        </w:rPr>
        <w:t>26,6</w:t>
      </w:r>
      <w:r w:rsidRPr="00644D4E">
        <w:rPr>
          <w:rFonts w:asciiTheme="majorBidi" w:hAnsiTheme="majorBidi" w:cstheme="majorBidi"/>
          <w:b/>
          <w:sz w:val="24"/>
          <w:szCs w:val="24"/>
          <w:lang w:val="ro-RO"/>
        </w:rPr>
        <w:t>%</w:t>
      </w:r>
      <w:r w:rsidRPr="00644D4E">
        <w:rPr>
          <w:rFonts w:asciiTheme="majorBidi" w:hAnsiTheme="majorBidi" w:cstheme="majorBidi"/>
          <w:sz w:val="24"/>
          <w:szCs w:val="24"/>
          <w:lang w:val="ro-RO"/>
        </w:rPr>
        <w:t xml:space="preserve">), urmați de </w:t>
      </w:r>
      <w:r w:rsidRPr="00644D4E">
        <w:rPr>
          <w:rFonts w:asciiTheme="majorBidi" w:hAnsiTheme="majorBidi" w:cstheme="majorBidi"/>
          <w:i/>
          <w:sz w:val="24"/>
          <w:szCs w:val="24"/>
          <w:lang w:val="ro-RO"/>
        </w:rPr>
        <w:t xml:space="preserve">Muncitorii necalificați </w:t>
      </w:r>
      <w:r w:rsidRPr="00644D4E">
        <w:rPr>
          <w:rFonts w:asciiTheme="majorBidi" w:hAnsiTheme="majorBidi" w:cstheme="majorBidi"/>
          <w:sz w:val="24"/>
          <w:szCs w:val="24"/>
          <w:lang w:val="ro-RO"/>
        </w:rPr>
        <w:t>(</w:t>
      </w:r>
      <w:r w:rsidR="00F945BC" w:rsidRPr="00644D4E">
        <w:rPr>
          <w:rFonts w:asciiTheme="majorBidi" w:hAnsiTheme="majorBidi" w:cstheme="majorBidi"/>
          <w:b/>
          <w:sz w:val="24"/>
          <w:szCs w:val="24"/>
          <w:lang w:val="ro-RO"/>
        </w:rPr>
        <w:t>24,8</w:t>
      </w:r>
      <w:r w:rsidRPr="00644D4E">
        <w:rPr>
          <w:rFonts w:asciiTheme="majorBidi" w:hAnsiTheme="majorBidi" w:cstheme="majorBidi"/>
          <w:b/>
          <w:sz w:val="24"/>
          <w:szCs w:val="24"/>
          <w:lang w:val="ro-RO"/>
        </w:rPr>
        <w:t>%</w:t>
      </w:r>
      <w:r w:rsidRPr="00644D4E">
        <w:rPr>
          <w:rFonts w:asciiTheme="majorBidi" w:hAnsiTheme="majorBidi" w:cstheme="majorBidi"/>
          <w:sz w:val="24"/>
          <w:szCs w:val="24"/>
          <w:lang w:val="ro-RO"/>
        </w:rPr>
        <w:t xml:space="preserve">). Ce ține de </w:t>
      </w:r>
      <w:r w:rsidRPr="00644D4E">
        <w:rPr>
          <w:rFonts w:asciiTheme="majorBidi" w:hAnsiTheme="majorBidi" w:cstheme="majorBidi"/>
          <w:i/>
          <w:sz w:val="24"/>
          <w:szCs w:val="24"/>
          <w:lang w:val="ro-RO"/>
        </w:rPr>
        <w:t>Șomerii înregistrați</w:t>
      </w:r>
      <w:r w:rsidRPr="00644D4E">
        <w:rPr>
          <w:rFonts w:asciiTheme="majorBidi" w:hAnsiTheme="majorBidi" w:cstheme="majorBidi"/>
          <w:sz w:val="24"/>
          <w:szCs w:val="24"/>
          <w:lang w:val="ro-RO"/>
        </w:rPr>
        <w:t xml:space="preserve">, cea mai mare pondere o constituie </w:t>
      </w:r>
      <w:r w:rsidRPr="00644D4E">
        <w:rPr>
          <w:rFonts w:asciiTheme="majorBidi" w:hAnsiTheme="majorBidi" w:cstheme="majorBidi"/>
          <w:i/>
          <w:sz w:val="24"/>
          <w:szCs w:val="24"/>
          <w:lang w:val="ro-RO"/>
        </w:rPr>
        <w:t>Muncitorii necalificați</w:t>
      </w:r>
      <w:r w:rsidRPr="00644D4E">
        <w:rPr>
          <w:rFonts w:asciiTheme="majorBidi" w:hAnsiTheme="majorBidi" w:cstheme="majorBidi"/>
          <w:sz w:val="24"/>
          <w:szCs w:val="24"/>
          <w:lang w:val="ro-RO"/>
        </w:rPr>
        <w:t xml:space="preserve"> (</w:t>
      </w:r>
      <w:r w:rsidR="00F945BC" w:rsidRPr="00644D4E">
        <w:rPr>
          <w:rFonts w:asciiTheme="majorBidi" w:hAnsiTheme="majorBidi" w:cstheme="majorBidi"/>
          <w:b/>
          <w:sz w:val="24"/>
          <w:szCs w:val="24"/>
          <w:lang w:val="ro-RO"/>
        </w:rPr>
        <w:t>32,4</w:t>
      </w:r>
      <w:r w:rsidRPr="00644D4E">
        <w:rPr>
          <w:rFonts w:asciiTheme="majorBidi" w:hAnsiTheme="majorBidi" w:cstheme="majorBidi"/>
          <w:b/>
          <w:sz w:val="24"/>
          <w:szCs w:val="24"/>
          <w:lang w:val="ro-RO"/>
        </w:rPr>
        <w:t>%</w:t>
      </w:r>
      <w:r w:rsidRPr="00644D4E">
        <w:rPr>
          <w:rFonts w:asciiTheme="majorBidi" w:hAnsiTheme="majorBidi" w:cstheme="majorBidi"/>
          <w:sz w:val="24"/>
          <w:szCs w:val="24"/>
          <w:lang w:val="ro-RO"/>
        </w:rPr>
        <w:t>);</w:t>
      </w:r>
    </w:p>
    <w:p w14:paraId="438BC093" w14:textId="77777777" w:rsidR="00EA1080" w:rsidRPr="00644D4E" w:rsidRDefault="00EA1080" w:rsidP="00EE547C">
      <w:pPr>
        <w:pStyle w:val="NoSpacing"/>
        <w:spacing w:after="120"/>
        <w:jc w:val="both"/>
        <w:rPr>
          <w:rFonts w:asciiTheme="majorBidi" w:hAnsiTheme="majorBidi" w:cstheme="majorBidi"/>
          <w:sz w:val="24"/>
          <w:szCs w:val="24"/>
          <w:lang w:val="ro-RO"/>
        </w:rPr>
      </w:pPr>
      <w:r w:rsidRPr="00644D4E">
        <w:rPr>
          <w:rFonts w:asciiTheme="majorBidi" w:hAnsiTheme="majorBidi" w:cstheme="majorBidi"/>
          <w:sz w:val="24"/>
          <w:szCs w:val="24"/>
          <w:lang w:val="ro-RO"/>
        </w:rPr>
        <w:t xml:space="preserve">Analizând corelarea între cererea și oferta forței de muncă pe ocupații se observă discrepanțe semnificative, în mod special se semnalează o lipsă acută a forței de muncă calificate, la </w:t>
      </w:r>
      <w:r w:rsidRPr="00644D4E">
        <w:rPr>
          <w:rFonts w:asciiTheme="majorBidi" w:hAnsiTheme="majorBidi" w:cstheme="majorBidi"/>
          <w:i/>
          <w:sz w:val="24"/>
          <w:szCs w:val="24"/>
          <w:lang w:val="ro-RO"/>
        </w:rPr>
        <w:t xml:space="preserve">Muncitori calificați, </w:t>
      </w:r>
      <w:r w:rsidRPr="00644D4E">
        <w:rPr>
          <w:rFonts w:asciiTheme="majorBidi" w:hAnsiTheme="majorBidi" w:cstheme="majorBidi"/>
          <w:sz w:val="24"/>
          <w:szCs w:val="24"/>
          <w:lang w:val="ro-RO"/>
        </w:rPr>
        <w:t xml:space="preserve">cererea forței de muncă depășind oferta cu cca 17 </w:t>
      </w:r>
      <w:proofErr w:type="spellStart"/>
      <w:r w:rsidRPr="00644D4E">
        <w:rPr>
          <w:rFonts w:asciiTheme="majorBidi" w:hAnsiTheme="majorBidi" w:cstheme="majorBidi"/>
          <w:sz w:val="24"/>
          <w:szCs w:val="24"/>
          <w:lang w:val="ro-RO"/>
        </w:rPr>
        <w:t>p.p.</w:t>
      </w:r>
      <w:proofErr w:type="spellEnd"/>
      <w:r w:rsidRPr="00644D4E">
        <w:rPr>
          <w:rFonts w:asciiTheme="majorBidi" w:hAnsiTheme="majorBidi" w:cstheme="majorBidi"/>
          <w:sz w:val="24"/>
          <w:szCs w:val="24"/>
          <w:lang w:val="ro-RO"/>
        </w:rPr>
        <w:t xml:space="preserve"> Pe de altă parte </w:t>
      </w:r>
      <w:r w:rsidRPr="00644D4E">
        <w:rPr>
          <w:rFonts w:asciiTheme="majorBidi" w:hAnsiTheme="majorBidi" w:cstheme="majorBidi"/>
          <w:i/>
          <w:sz w:val="24"/>
          <w:szCs w:val="24"/>
          <w:lang w:val="ro-RO"/>
        </w:rPr>
        <w:t xml:space="preserve">Muncitorii necalificați </w:t>
      </w:r>
      <w:r w:rsidRPr="00644D4E">
        <w:rPr>
          <w:rFonts w:asciiTheme="majorBidi" w:hAnsiTheme="majorBidi" w:cstheme="majorBidi"/>
          <w:sz w:val="24"/>
          <w:szCs w:val="24"/>
          <w:lang w:val="ro-RO"/>
        </w:rPr>
        <w:t xml:space="preserve">înregistrați în baza de date a ANOFM, depășesc cererea cu cca 8 </w:t>
      </w:r>
      <w:proofErr w:type="spellStart"/>
      <w:r w:rsidRPr="00644D4E">
        <w:rPr>
          <w:rFonts w:asciiTheme="majorBidi" w:hAnsiTheme="majorBidi" w:cstheme="majorBidi"/>
          <w:sz w:val="24"/>
          <w:szCs w:val="24"/>
          <w:lang w:val="ro-RO"/>
        </w:rPr>
        <w:t>p.p.</w:t>
      </w:r>
      <w:proofErr w:type="spellEnd"/>
      <w:r w:rsidRPr="00644D4E">
        <w:rPr>
          <w:rFonts w:asciiTheme="majorBidi" w:hAnsiTheme="majorBidi" w:cstheme="majorBidi"/>
          <w:sz w:val="24"/>
          <w:szCs w:val="24"/>
          <w:lang w:val="ro-RO"/>
        </w:rPr>
        <w:t xml:space="preserve"> În concluzie, se atestă o discrepanță majoră în ceea ce privește competențele forței de muncă de pe piață și cele solicitate de angajatori.</w:t>
      </w:r>
    </w:p>
    <w:p w14:paraId="63679327" w14:textId="77777777" w:rsidR="00E2218F" w:rsidRPr="00644D4E" w:rsidRDefault="00F945BC" w:rsidP="00EE547C">
      <w:pPr>
        <w:spacing w:after="120" w:line="240" w:lineRule="auto"/>
        <w:jc w:val="both"/>
        <w:rPr>
          <w:rFonts w:asciiTheme="majorBidi" w:hAnsiTheme="majorBidi" w:cstheme="majorBidi"/>
          <w:sz w:val="24"/>
          <w:szCs w:val="24"/>
          <w:lang w:val="ro-RO"/>
        </w:rPr>
      </w:pPr>
      <w:r w:rsidRPr="00644D4E">
        <w:rPr>
          <w:rFonts w:asciiTheme="majorBidi" w:hAnsiTheme="majorBidi" w:cstheme="majorBidi"/>
          <w:sz w:val="24"/>
          <w:szCs w:val="24"/>
          <w:lang w:val="ro-RO"/>
        </w:rPr>
        <w:t>c</w:t>
      </w:r>
      <w:r w:rsidR="00E2218F" w:rsidRPr="00644D4E">
        <w:rPr>
          <w:rFonts w:asciiTheme="majorBidi" w:hAnsiTheme="majorBidi" w:cstheme="majorBidi"/>
          <w:sz w:val="24"/>
          <w:szCs w:val="24"/>
          <w:lang w:val="ro-RO"/>
        </w:rPr>
        <w:t xml:space="preserve">omparativ cu anul precedent a crescut cererea la </w:t>
      </w:r>
      <w:r w:rsidR="00E2218F" w:rsidRPr="00644D4E">
        <w:rPr>
          <w:rFonts w:asciiTheme="majorBidi" w:hAnsiTheme="majorBidi" w:cstheme="majorBidi"/>
          <w:i/>
          <w:sz w:val="24"/>
          <w:szCs w:val="24"/>
          <w:lang w:val="ro-RO"/>
        </w:rPr>
        <w:t xml:space="preserve">Muncitori necalificați cu 9 </w:t>
      </w:r>
      <w:proofErr w:type="spellStart"/>
      <w:r w:rsidR="00E2218F" w:rsidRPr="00644D4E">
        <w:rPr>
          <w:rFonts w:asciiTheme="majorBidi" w:hAnsiTheme="majorBidi" w:cstheme="majorBidi"/>
          <w:i/>
          <w:sz w:val="24"/>
          <w:szCs w:val="24"/>
          <w:lang w:val="ro-RO"/>
        </w:rPr>
        <w:t>p.p.</w:t>
      </w:r>
      <w:proofErr w:type="spellEnd"/>
      <w:r w:rsidR="00E2218F" w:rsidRPr="00644D4E">
        <w:rPr>
          <w:rFonts w:asciiTheme="majorBidi" w:hAnsiTheme="majorBidi" w:cstheme="majorBidi"/>
          <w:i/>
          <w:sz w:val="24"/>
          <w:szCs w:val="24"/>
          <w:lang w:val="ro-RO"/>
        </w:rPr>
        <w:t xml:space="preserve">, </w:t>
      </w:r>
      <w:r w:rsidR="00E2218F" w:rsidRPr="00644D4E">
        <w:rPr>
          <w:rFonts w:asciiTheme="majorBidi" w:hAnsiTheme="majorBidi" w:cstheme="majorBidi"/>
          <w:sz w:val="24"/>
          <w:szCs w:val="24"/>
          <w:lang w:val="ro-RO"/>
        </w:rPr>
        <w:t xml:space="preserve">iar la </w:t>
      </w:r>
      <w:r w:rsidR="00E2218F" w:rsidRPr="00644D4E">
        <w:rPr>
          <w:rFonts w:asciiTheme="majorBidi" w:hAnsiTheme="majorBidi" w:cstheme="majorBidi"/>
          <w:i/>
          <w:sz w:val="24"/>
          <w:szCs w:val="24"/>
          <w:lang w:val="ro-RO"/>
        </w:rPr>
        <w:t>Muncitori calificați</w:t>
      </w:r>
      <w:r w:rsidR="00E2218F" w:rsidRPr="00644D4E">
        <w:rPr>
          <w:rFonts w:asciiTheme="majorBidi" w:hAnsiTheme="majorBidi" w:cstheme="majorBidi"/>
          <w:sz w:val="24"/>
          <w:szCs w:val="24"/>
          <w:lang w:val="ro-RO"/>
        </w:rPr>
        <w:t xml:space="preserve"> a scăzut cu cca 4 </w:t>
      </w:r>
      <w:proofErr w:type="spellStart"/>
      <w:r w:rsidR="00E2218F" w:rsidRPr="00644D4E">
        <w:rPr>
          <w:rFonts w:asciiTheme="majorBidi" w:hAnsiTheme="majorBidi" w:cstheme="majorBidi"/>
          <w:sz w:val="24"/>
          <w:szCs w:val="24"/>
          <w:lang w:val="ro-RO"/>
        </w:rPr>
        <w:t>p.p</w:t>
      </w:r>
      <w:proofErr w:type="spellEnd"/>
      <w:r w:rsidR="00E2218F" w:rsidRPr="00644D4E">
        <w:rPr>
          <w:rFonts w:asciiTheme="majorBidi" w:hAnsiTheme="majorBidi" w:cstheme="majorBidi"/>
          <w:i/>
          <w:sz w:val="24"/>
          <w:szCs w:val="24"/>
          <w:lang w:val="ro-RO"/>
        </w:rPr>
        <w:t xml:space="preserve"> ceea </w:t>
      </w:r>
      <w:r w:rsidR="00E2218F" w:rsidRPr="00644D4E">
        <w:rPr>
          <w:rFonts w:asciiTheme="majorBidi" w:hAnsiTheme="majorBidi" w:cstheme="majorBidi"/>
          <w:sz w:val="24"/>
          <w:szCs w:val="24"/>
          <w:lang w:val="ro-RO"/>
        </w:rPr>
        <w:t>ce semnalează o sporire a solicitării forței de muncă necalificate pe piața muncii</w:t>
      </w:r>
      <w:r w:rsidRPr="00644D4E">
        <w:rPr>
          <w:rFonts w:asciiTheme="majorBidi" w:hAnsiTheme="majorBidi" w:cstheme="majorBidi"/>
          <w:sz w:val="24"/>
          <w:szCs w:val="24"/>
          <w:lang w:val="ro-RO"/>
        </w:rPr>
        <w:t>;</w:t>
      </w:r>
    </w:p>
    <w:p w14:paraId="17853183" w14:textId="77777777" w:rsidR="00EB3FFA" w:rsidRPr="00644D4E" w:rsidRDefault="00EB3FFA" w:rsidP="00EE547C">
      <w:pPr>
        <w:pStyle w:val="NoSpacing"/>
        <w:spacing w:after="120"/>
        <w:jc w:val="both"/>
        <w:rPr>
          <w:rFonts w:asciiTheme="majorBidi" w:hAnsiTheme="majorBidi" w:cstheme="majorBidi"/>
          <w:sz w:val="24"/>
          <w:szCs w:val="24"/>
          <w:lang w:val="ro-RO"/>
        </w:rPr>
      </w:pPr>
      <w:r w:rsidRPr="00644D4E">
        <w:rPr>
          <w:rFonts w:asciiTheme="majorBidi" w:hAnsiTheme="majorBidi" w:cstheme="majorBidi"/>
          <w:sz w:val="24"/>
          <w:szCs w:val="24"/>
          <w:lang w:val="ro-RO"/>
        </w:rPr>
        <w:t>după regiuni statistice, cele mai multe locuri de muncă vacante au fost înregistrate în mun. Chișinău, (</w:t>
      </w:r>
      <w:r w:rsidR="00F945BC" w:rsidRPr="00644D4E">
        <w:rPr>
          <w:rFonts w:asciiTheme="majorBidi" w:hAnsiTheme="majorBidi" w:cstheme="majorBidi"/>
          <w:sz w:val="24"/>
          <w:szCs w:val="24"/>
          <w:lang w:val="ro-RO"/>
        </w:rPr>
        <w:t>36</w:t>
      </w:r>
      <w:r w:rsidRPr="00644D4E">
        <w:rPr>
          <w:rFonts w:asciiTheme="majorBidi" w:hAnsiTheme="majorBidi" w:cstheme="majorBidi"/>
          <w:sz w:val="24"/>
          <w:szCs w:val="24"/>
          <w:lang w:val="ro-RO"/>
        </w:rPr>
        <w:t>%), urmat de regiunea Centru (24%), Nord cu 2</w:t>
      </w:r>
      <w:r w:rsidR="00F945BC" w:rsidRPr="00644D4E">
        <w:rPr>
          <w:rFonts w:asciiTheme="majorBidi" w:hAnsiTheme="majorBidi" w:cstheme="majorBidi"/>
          <w:sz w:val="24"/>
          <w:szCs w:val="24"/>
          <w:lang w:val="ro-RO"/>
        </w:rPr>
        <w:t>2</w:t>
      </w:r>
      <w:r w:rsidRPr="00644D4E">
        <w:rPr>
          <w:rFonts w:asciiTheme="majorBidi" w:hAnsiTheme="majorBidi" w:cstheme="majorBidi"/>
          <w:sz w:val="24"/>
          <w:szCs w:val="24"/>
          <w:lang w:val="ro-RO"/>
        </w:rPr>
        <w:t>% și regiunea Sud cu 1</w:t>
      </w:r>
      <w:r w:rsidR="00F945BC" w:rsidRPr="00644D4E">
        <w:rPr>
          <w:rFonts w:asciiTheme="majorBidi" w:hAnsiTheme="majorBidi" w:cstheme="majorBidi"/>
          <w:sz w:val="24"/>
          <w:szCs w:val="24"/>
          <w:lang w:val="ro-RO"/>
        </w:rPr>
        <w:t>8</w:t>
      </w:r>
      <w:r w:rsidRPr="00644D4E">
        <w:rPr>
          <w:rFonts w:asciiTheme="majorBidi" w:hAnsiTheme="majorBidi" w:cstheme="majorBidi"/>
          <w:sz w:val="24"/>
          <w:szCs w:val="24"/>
          <w:lang w:val="ro-RO"/>
        </w:rPr>
        <w:t>%;</w:t>
      </w:r>
    </w:p>
    <w:p w14:paraId="6BC9291B" w14:textId="77777777" w:rsidR="00CA2350" w:rsidRPr="00644D4E" w:rsidRDefault="00CA2350" w:rsidP="00EE547C">
      <w:pPr>
        <w:pStyle w:val="NoSpacing"/>
        <w:spacing w:after="120"/>
        <w:jc w:val="both"/>
        <w:rPr>
          <w:rFonts w:asciiTheme="majorBidi" w:hAnsiTheme="majorBidi" w:cstheme="majorBidi"/>
          <w:sz w:val="24"/>
          <w:szCs w:val="24"/>
          <w:lang w:val="ro-RO"/>
        </w:rPr>
      </w:pPr>
      <w:r w:rsidRPr="00644D4E">
        <w:rPr>
          <w:rFonts w:asciiTheme="majorBidi" w:hAnsiTheme="majorBidi" w:cstheme="majorBidi"/>
          <w:sz w:val="24"/>
          <w:szCs w:val="24"/>
          <w:lang w:val="ro-RO"/>
        </w:rPr>
        <w:t>cele mai multe locuri de muncă vacante înregistrate solicită studii primare/gimnaziale (</w:t>
      </w:r>
      <w:r w:rsidRPr="00644D4E">
        <w:rPr>
          <w:rFonts w:asciiTheme="majorBidi" w:hAnsiTheme="majorBidi" w:cstheme="majorBidi"/>
          <w:b/>
          <w:sz w:val="24"/>
          <w:szCs w:val="24"/>
          <w:lang w:val="ro-RO"/>
        </w:rPr>
        <w:t>36%</w:t>
      </w:r>
      <w:r w:rsidRPr="00644D4E">
        <w:rPr>
          <w:rFonts w:asciiTheme="majorBidi" w:hAnsiTheme="majorBidi" w:cstheme="majorBidi"/>
          <w:sz w:val="24"/>
          <w:szCs w:val="24"/>
          <w:lang w:val="ro-RO"/>
        </w:rPr>
        <w:t>), urmate de liceale/medii generale (</w:t>
      </w:r>
      <w:r w:rsidRPr="00644D4E">
        <w:rPr>
          <w:rFonts w:asciiTheme="majorBidi" w:hAnsiTheme="majorBidi" w:cstheme="majorBidi"/>
          <w:b/>
          <w:sz w:val="24"/>
          <w:szCs w:val="24"/>
          <w:lang w:val="ro-RO"/>
        </w:rPr>
        <w:t>32%</w:t>
      </w:r>
      <w:r w:rsidRPr="00644D4E">
        <w:rPr>
          <w:rFonts w:asciiTheme="majorBidi" w:hAnsiTheme="majorBidi" w:cstheme="majorBidi"/>
          <w:sz w:val="24"/>
          <w:szCs w:val="24"/>
          <w:lang w:val="ro-RO"/>
        </w:rPr>
        <w:t>), secundar-profesionale (</w:t>
      </w:r>
      <w:r w:rsidRPr="00644D4E">
        <w:rPr>
          <w:rFonts w:asciiTheme="majorBidi" w:hAnsiTheme="majorBidi" w:cstheme="majorBidi"/>
          <w:b/>
          <w:sz w:val="24"/>
          <w:szCs w:val="24"/>
          <w:lang w:val="ro-RO"/>
        </w:rPr>
        <w:t>16%</w:t>
      </w:r>
      <w:r w:rsidRPr="00644D4E">
        <w:rPr>
          <w:rFonts w:asciiTheme="majorBidi" w:hAnsiTheme="majorBidi" w:cstheme="majorBidi"/>
          <w:sz w:val="24"/>
          <w:szCs w:val="24"/>
          <w:lang w:val="ro-RO"/>
        </w:rPr>
        <w:t>), superioare (</w:t>
      </w:r>
      <w:r w:rsidRPr="00644D4E">
        <w:rPr>
          <w:rFonts w:asciiTheme="majorBidi" w:hAnsiTheme="majorBidi" w:cstheme="majorBidi"/>
          <w:b/>
          <w:sz w:val="24"/>
          <w:szCs w:val="24"/>
          <w:lang w:val="ro-RO"/>
        </w:rPr>
        <w:t>12%</w:t>
      </w:r>
      <w:r w:rsidRPr="00644D4E">
        <w:rPr>
          <w:rFonts w:asciiTheme="majorBidi" w:hAnsiTheme="majorBidi" w:cstheme="majorBidi"/>
          <w:sz w:val="24"/>
          <w:szCs w:val="24"/>
          <w:lang w:val="ro-RO"/>
        </w:rPr>
        <w:t>) și medii speciale (</w:t>
      </w:r>
      <w:r w:rsidRPr="00644D4E">
        <w:rPr>
          <w:rFonts w:asciiTheme="majorBidi" w:hAnsiTheme="majorBidi" w:cstheme="majorBidi"/>
          <w:b/>
          <w:sz w:val="24"/>
          <w:szCs w:val="24"/>
          <w:lang w:val="ro-RO"/>
        </w:rPr>
        <w:t>4%</w:t>
      </w:r>
      <w:r w:rsidRPr="00644D4E">
        <w:rPr>
          <w:rFonts w:asciiTheme="majorBidi" w:hAnsiTheme="majorBidi" w:cstheme="majorBidi"/>
          <w:sz w:val="24"/>
          <w:szCs w:val="24"/>
          <w:lang w:val="ro-RO"/>
        </w:rPr>
        <w:t xml:space="preserve">). </w:t>
      </w:r>
    </w:p>
    <w:p w14:paraId="1F3AEBB1" w14:textId="22FE321D" w:rsidR="00EB3FFA" w:rsidRPr="00644D4E" w:rsidRDefault="000D1A64" w:rsidP="00EE547C">
      <w:pPr>
        <w:pStyle w:val="NoSpacing"/>
        <w:spacing w:after="120"/>
        <w:jc w:val="both"/>
        <w:rPr>
          <w:rFonts w:asciiTheme="majorBidi" w:hAnsiTheme="majorBidi" w:cstheme="majorBidi"/>
          <w:sz w:val="24"/>
          <w:szCs w:val="24"/>
          <w:lang w:val="ro-RO"/>
        </w:rPr>
      </w:pPr>
      <w:r w:rsidRPr="00644D4E">
        <w:rPr>
          <w:rFonts w:asciiTheme="majorBidi" w:hAnsiTheme="majorBidi" w:cstheme="majorBidi"/>
          <w:sz w:val="24"/>
          <w:szCs w:val="24"/>
          <w:lang w:val="ro-RO"/>
        </w:rPr>
        <w:t>p</w:t>
      </w:r>
      <w:r w:rsidR="00EB3FFA" w:rsidRPr="00644D4E">
        <w:rPr>
          <w:rFonts w:asciiTheme="majorBidi" w:hAnsiTheme="majorBidi" w:cstheme="majorBidi"/>
          <w:sz w:val="24"/>
          <w:szCs w:val="24"/>
          <w:lang w:val="ro-RO"/>
        </w:rPr>
        <w:t xml:space="preserve">e </w:t>
      </w:r>
      <w:r w:rsidR="00EB3FFA" w:rsidRPr="00644D4E">
        <w:rPr>
          <w:rFonts w:asciiTheme="majorBidi" w:hAnsiTheme="majorBidi" w:cstheme="majorBidi"/>
          <w:b/>
          <w:sz w:val="24"/>
          <w:szCs w:val="24"/>
          <w:lang w:val="ro-RO"/>
        </w:rPr>
        <w:t>medii de reședință</w:t>
      </w:r>
      <w:r w:rsidR="00EB3FFA" w:rsidRPr="00644D4E">
        <w:rPr>
          <w:rFonts w:asciiTheme="majorBidi" w:hAnsiTheme="majorBidi" w:cstheme="majorBidi"/>
          <w:sz w:val="24"/>
          <w:szCs w:val="24"/>
          <w:lang w:val="ro-RO"/>
        </w:rPr>
        <w:t>, ponderea locurilor de muncă vacante rămâne în continuare concentrată în mediul urban (</w:t>
      </w:r>
      <w:r w:rsidR="00EB3FFA" w:rsidRPr="00644D4E">
        <w:rPr>
          <w:rFonts w:asciiTheme="majorBidi" w:hAnsiTheme="majorBidi" w:cstheme="majorBidi"/>
          <w:b/>
          <w:sz w:val="24"/>
          <w:szCs w:val="24"/>
          <w:lang w:val="ro-RO"/>
        </w:rPr>
        <w:t>87%</w:t>
      </w:r>
      <w:r w:rsidR="00EB3FFA" w:rsidRPr="00644D4E">
        <w:rPr>
          <w:rFonts w:asciiTheme="majorBidi" w:hAnsiTheme="majorBidi" w:cstheme="majorBidi"/>
          <w:sz w:val="24"/>
          <w:szCs w:val="24"/>
          <w:lang w:val="ro-RO"/>
        </w:rPr>
        <w:t xml:space="preserve">), în rural fiind – </w:t>
      </w:r>
      <w:r w:rsidR="00EB3FFA" w:rsidRPr="00644D4E">
        <w:rPr>
          <w:rFonts w:asciiTheme="majorBidi" w:hAnsiTheme="majorBidi" w:cstheme="majorBidi"/>
          <w:b/>
          <w:sz w:val="24"/>
          <w:szCs w:val="24"/>
          <w:lang w:val="ro-RO"/>
        </w:rPr>
        <w:t>13%</w:t>
      </w:r>
      <w:r w:rsidRPr="00644D4E">
        <w:rPr>
          <w:rFonts w:asciiTheme="majorBidi" w:hAnsiTheme="majorBidi" w:cstheme="majorBidi"/>
          <w:sz w:val="24"/>
          <w:szCs w:val="24"/>
          <w:lang w:val="ro-RO"/>
        </w:rPr>
        <w:t>;</w:t>
      </w:r>
      <w:r w:rsidR="00EB3FFA" w:rsidRPr="00644D4E">
        <w:rPr>
          <w:rFonts w:asciiTheme="majorBidi" w:hAnsiTheme="majorBidi" w:cstheme="majorBidi"/>
          <w:sz w:val="24"/>
          <w:szCs w:val="24"/>
          <w:lang w:val="ro-RO"/>
        </w:rPr>
        <w:t xml:space="preserve"> </w:t>
      </w:r>
    </w:p>
    <w:p w14:paraId="3270BAF2" w14:textId="77777777" w:rsidR="00E2218F" w:rsidRPr="00644D4E" w:rsidRDefault="00462E3E" w:rsidP="00EE547C">
      <w:pPr>
        <w:spacing w:after="120" w:line="240" w:lineRule="auto"/>
        <w:jc w:val="both"/>
        <w:rPr>
          <w:rFonts w:ascii="Times New Roman" w:hAnsi="Times New Roman" w:cs="Times New Roman"/>
          <w:sz w:val="24"/>
          <w:szCs w:val="24"/>
          <w:lang w:val="ro-RO"/>
        </w:rPr>
      </w:pPr>
      <w:r w:rsidRPr="00644D4E">
        <w:rPr>
          <w:rFonts w:asciiTheme="majorBidi" w:hAnsiTheme="majorBidi" w:cstheme="majorBidi"/>
          <w:sz w:val="24"/>
          <w:szCs w:val="24"/>
          <w:lang w:val="ro-RO"/>
        </w:rPr>
        <w:t>î</w:t>
      </w:r>
      <w:r w:rsidR="00E2218F" w:rsidRPr="00644D4E">
        <w:rPr>
          <w:rFonts w:asciiTheme="majorBidi" w:hAnsiTheme="majorBidi" w:cstheme="majorBidi"/>
          <w:sz w:val="24"/>
          <w:szCs w:val="24"/>
          <w:lang w:val="ro-RO"/>
        </w:rPr>
        <w:t xml:space="preserve">n clasificarea locurilor de muncă vacante după </w:t>
      </w:r>
      <w:r w:rsidR="00E2218F" w:rsidRPr="00644D4E">
        <w:rPr>
          <w:rFonts w:asciiTheme="majorBidi" w:hAnsiTheme="majorBidi" w:cstheme="majorBidi"/>
          <w:b/>
          <w:sz w:val="24"/>
          <w:szCs w:val="24"/>
          <w:lang w:val="ro-RO"/>
        </w:rPr>
        <w:t xml:space="preserve">salarii </w:t>
      </w:r>
      <w:r w:rsidR="00E2218F" w:rsidRPr="00644D4E">
        <w:rPr>
          <w:rFonts w:asciiTheme="majorBidi" w:hAnsiTheme="majorBidi" w:cstheme="majorBidi"/>
          <w:sz w:val="24"/>
          <w:szCs w:val="24"/>
          <w:lang w:val="ro-RO"/>
        </w:rPr>
        <w:t xml:space="preserve">se atestă modificări semnificative în comparație cu anul precedent, indicând un trend pozitiv. Astfel, locurile vacante cu salarii mai mari de </w:t>
      </w:r>
      <w:r w:rsidR="00E2218F" w:rsidRPr="00644D4E">
        <w:rPr>
          <w:rFonts w:asciiTheme="majorBidi" w:hAnsiTheme="majorBidi" w:cstheme="majorBidi"/>
          <w:b/>
          <w:sz w:val="24"/>
          <w:szCs w:val="24"/>
          <w:lang w:val="ro-RO"/>
        </w:rPr>
        <w:t>5000 lei</w:t>
      </w:r>
      <w:r w:rsidR="00E2218F" w:rsidRPr="00644D4E">
        <w:rPr>
          <w:rFonts w:asciiTheme="majorBidi" w:hAnsiTheme="majorBidi" w:cstheme="majorBidi"/>
          <w:sz w:val="24"/>
          <w:szCs w:val="24"/>
          <w:lang w:val="ro-RO"/>
        </w:rPr>
        <w:t xml:space="preserve"> s-au majorat de la </w:t>
      </w:r>
      <w:r w:rsidR="00E2218F" w:rsidRPr="00644D4E">
        <w:rPr>
          <w:rFonts w:asciiTheme="majorBidi" w:hAnsiTheme="majorBidi" w:cstheme="majorBidi"/>
          <w:b/>
          <w:sz w:val="24"/>
          <w:szCs w:val="24"/>
          <w:lang w:val="ro-RO"/>
        </w:rPr>
        <w:t>40%</w:t>
      </w:r>
      <w:r w:rsidR="00E2218F" w:rsidRPr="00644D4E">
        <w:rPr>
          <w:rFonts w:asciiTheme="majorBidi" w:hAnsiTheme="majorBidi" w:cstheme="majorBidi"/>
          <w:sz w:val="24"/>
          <w:szCs w:val="24"/>
          <w:lang w:val="ro-RO"/>
        </w:rPr>
        <w:t xml:space="preserve"> la </w:t>
      </w:r>
      <w:r w:rsidR="00E2218F" w:rsidRPr="00644D4E">
        <w:rPr>
          <w:rFonts w:asciiTheme="majorBidi" w:hAnsiTheme="majorBidi" w:cstheme="majorBidi"/>
          <w:b/>
          <w:sz w:val="24"/>
          <w:szCs w:val="24"/>
          <w:lang w:val="ro-RO"/>
        </w:rPr>
        <w:t>47%</w:t>
      </w:r>
      <w:r w:rsidR="00E2218F" w:rsidRPr="00644D4E">
        <w:rPr>
          <w:rFonts w:asciiTheme="majorBidi" w:hAnsiTheme="majorBidi" w:cstheme="majorBidi"/>
          <w:sz w:val="24"/>
          <w:szCs w:val="24"/>
          <w:lang w:val="ro-RO"/>
        </w:rPr>
        <w:t xml:space="preserve">, iar cele mai mici de </w:t>
      </w:r>
      <w:r w:rsidR="00E2218F" w:rsidRPr="00644D4E">
        <w:rPr>
          <w:rFonts w:asciiTheme="majorBidi" w:hAnsiTheme="majorBidi" w:cstheme="majorBidi"/>
          <w:b/>
          <w:sz w:val="24"/>
          <w:szCs w:val="24"/>
          <w:lang w:val="ro-RO"/>
        </w:rPr>
        <w:t>3000 lei</w:t>
      </w:r>
      <w:r w:rsidR="00E2218F" w:rsidRPr="00644D4E">
        <w:rPr>
          <w:rFonts w:asciiTheme="majorBidi" w:hAnsiTheme="majorBidi" w:cstheme="majorBidi"/>
          <w:sz w:val="24"/>
          <w:szCs w:val="24"/>
          <w:lang w:val="ro-RO"/>
        </w:rPr>
        <w:t xml:space="preserve"> au scăzut de la </w:t>
      </w:r>
      <w:r w:rsidR="00E2218F" w:rsidRPr="00644D4E">
        <w:rPr>
          <w:rFonts w:asciiTheme="majorBidi" w:hAnsiTheme="majorBidi" w:cstheme="majorBidi"/>
          <w:b/>
          <w:sz w:val="24"/>
          <w:szCs w:val="24"/>
          <w:lang w:val="ro-RO"/>
        </w:rPr>
        <w:t>2%</w:t>
      </w:r>
      <w:r w:rsidR="00E2218F" w:rsidRPr="00644D4E">
        <w:rPr>
          <w:rFonts w:asciiTheme="majorBidi" w:hAnsiTheme="majorBidi" w:cstheme="majorBidi"/>
          <w:sz w:val="24"/>
          <w:szCs w:val="24"/>
          <w:lang w:val="ro-RO"/>
        </w:rPr>
        <w:t xml:space="preserve"> la </w:t>
      </w:r>
      <w:r w:rsidR="00E2218F" w:rsidRPr="00644D4E">
        <w:rPr>
          <w:rFonts w:asciiTheme="majorBidi" w:hAnsiTheme="majorBidi" w:cstheme="majorBidi"/>
          <w:b/>
          <w:sz w:val="24"/>
          <w:szCs w:val="24"/>
          <w:lang w:val="ro-RO"/>
        </w:rPr>
        <w:t>1%</w:t>
      </w:r>
      <w:r w:rsidR="00E2218F" w:rsidRPr="00644D4E">
        <w:rPr>
          <w:rFonts w:asciiTheme="majorBidi" w:hAnsiTheme="majorBidi" w:cstheme="majorBidi"/>
          <w:sz w:val="24"/>
          <w:szCs w:val="24"/>
          <w:lang w:val="ro-RO"/>
        </w:rPr>
        <w:t xml:space="preserve">. </w:t>
      </w:r>
    </w:p>
    <w:p w14:paraId="29C0A0FE" w14:textId="6028B533" w:rsidR="00462E3E" w:rsidRPr="00644D4E" w:rsidRDefault="00462E3E" w:rsidP="000D1A64">
      <w:pPr>
        <w:spacing w:after="120" w:line="240" w:lineRule="auto"/>
        <w:jc w:val="both"/>
        <w:rPr>
          <w:rFonts w:ascii="Times New Roman" w:hAnsi="Times New Roman" w:cs="Times New Roman"/>
          <w:sz w:val="24"/>
          <w:szCs w:val="24"/>
          <w:lang w:val="ro-RO"/>
        </w:rPr>
      </w:pPr>
    </w:p>
    <w:sectPr w:rsidR="00462E3E" w:rsidRPr="00644D4E" w:rsidSect="00365905">
      <w:footerReference w:type="default" r:id="rId38"/>
      <w:type w:val="continuous"/>
      <w:pgSz w:w="11906" w:h="16838"/>
      <w:pgMar w:top="709"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AB94F" w14:textId="77777777" w:rsidR="009C5084" w:rsidRDefault="009C5084" w:rsidP="004F53E0">
      <w:pPr>
        <w:spacing w:after="0" w:line="240" w:lineRule="auto"/>
      </w:pPr>
      <w:r>
        <w:separator/>
      </w:r>
    </w:p>
  </w:endnote>
  <w:endnote w:type="continuationSeparator" w:id="0">
    <w:p w14:paraId="0B7E56AF" w14:textId="77777777" w:rsidR="009C5084" w:rsidRDefault="009C5084" w:rsidP="004F5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raphik-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9380608"/>
      <w:docPartObj>
        <w:docPartGallery w:val="Page Numbers (Bottom of Page)"/>
        <w:docPartUnique/>
      </w:docPartObj>
    </w:sdtPr>
    <w:sdtContent>
      <w:p w14:paraId="0A19E3D9" w14:textId="77777777" w:rsidR="00A4216E" w:rsidRDefault="00A4216E">
        <w:pPr>
          <w:pStyle w:val="Footer"/>
          <w:jc w:val="center"/>
        </w:pPr>
        <w:r>
          <w:fldChar w:fldCharType="begin"/>
        </w:r>
        <w:r>
          <w:instrText>PAGE   \* MERGEFORMAT</w:instrText>
        </w:r>
        <w:r>
          <w:fldChar w:fldCharType="separate"/>
        </w:r>
        <w:r w:rsidR="00280DDA" w:rsidRPr="00280DDA">
          <w:rPr>
            <w:noProof/>
            <w:lang w:val="ru-RU"/>
          </w:rPr>
          <w:t>3</w:t>
        </w:r>
        <w:r>
          <w:fldChar w:fldCharType="end"/>
        </w:r>
      </w:p>
    </w:sdtContent>
  </w:sdt>
  <w:p w14:paraId="1E46A45F" w14:textId="77777777" w:rsidR="00A4216E" w:rsidRDefault="00A4216E">
    <w:pPr>
      <w:pStyle w:val="Footer"/>
    </w:pPr>
  </w:p>
  <w:p w14:paraId="171C8E41" w14:textId="77777777" w:rsidR="00A4216E" w:rsidRDefault="00A421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DC5BB" w14:textId="77777777" w:rsidR="009C5084" w:rsidRDefault="009C5084" w:rsidP="004F53E0">
      <w:pPr>
        <w:spacing w:after="0" w:line="240" w:lineRule="auto"/>
      </w:pPr>
      <w:r>
        <w:separator/>
      </w:r>
    </w:p>
  </w:footnote>
  <w:footnote w:type="continuationSeparator" w:id="0">
    <w:p w14:paraId="05AB9A5A" w14:textId="77777777" w:rsidR="009C5084" w:rsidRDefault="009C5084" w:rsidP="004F53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16F6"/>
    <w:multiLevelType w:val="hybridMultilevel"/>
    <w:tmpl w:val="F15E2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3E2D73"/>
    <w:multiLevelType w:val="hybridMultilevel"/>
    <w:tmpl w:val="A30A31F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FEA11BD"/>
    <w:multiLevelType w:val="hybridMultilevel"/>
    <w:tmpl w:val="57FE3BDE"/>
    <w:lvl w:ilvl="0" w:tplc="DB4A61B8">
      <w:start w:val="1"/>
      <w:numFmt w:val="bullet"/>
      <w:lvlText w:val="-"/>
      <w:lvlJc w:val="left"/>
      <w:pPr>
        <w:ind w:left="720" w:hanging="360"/>
      </w:pPr>
      <w:rPr>
        <w:rFonts w:ascii="Times New Roman" w:eastAsia="Calibr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29024F6"/>
    <w:multiLevelType w:val="hybridMultilevel"/>
    <w:tmpl w:val="36360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552179"/>
    <w:multiLevelType w:val="hybridMultilevel"/>
    <w:tmpl w:val="B3B00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B21C16"/>
    <w:multiLevelType w:val="hybridMultilevel"/>
    <w:tmpl w:val="F9A2860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0C6955"/>
    <w:multiLevelType w:val="hybridMultilevel"/>
    <w:tmpl w:val="39EA413E"/>
    <w:lvl w:ilvl="0" w:tplc="A0707D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D1568F4"/>
    <w:multiLevelType w:val="hybridMultilevel"/>
    <w:tmpl w:val="5D8883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6B76735"/>
    <w:multiLevelType w:val="hybridMultilevel"/>
    <w:tmpl w:val="D4F0B514"/>
    <w:lvl w:ilvl="0" w:tplc="516C10A4">
      <w:start w:val="1"/>
      <w:numFmt w:val="decimal"/>
      <w:lvlText w:val="%1."/>
      <w:lvlJc w:val="left"/>
      <w:pPr>
        <w:ind w:left="720"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6FC2572"/>
    <w:multiLevelType w:val="multilevel"/>
    <w:tmpl w:val="1CE6FBE8"/>
    <w:lvl w:ilvl="0">
      <w:start w:val="1"/>
      <w:numFmt w:val="decimal"/>
      <w:lvlText w:val="%1."/>
      <w:lvlJc w:val="left"/>
      <w:pPr>
        <w:ind w:left="720" w:hanging="360"/>
      </w:pPr>
      <w:rPr>
        <w:rFonts w:hint="default"/>
        <w:b/>
        <w:i/>
      </w:rPr>
    </w:lvl>
    <w:lvl w:ilvl="1">
      <w:start w:val="2"/>
      <w:numFmt w:val="decimal"/>
      <w:isLgl/>
      <w:lvlText w:val="%1.%2."/>
      <w:lvlJc w:val="left"/>
      <w:pPr>
        <w:ind w:left="562"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71DB1F23"/>
    <w:multiLevelType w:val="multilevel"/>
    <w:tmpl w:val="C6E49178"/>
    <w:lvl w:ilvl="0">
      <w:start w:val="1"/>
      <w:numFmt w:val="decimal"/>
      <w:lvlText w:val="%1."/>
      <w:lvlJc w:val="left"/>
      <w:pPr>
        <w:ind w:left="502" w:hanging="360"/>
      </w:pPr>
      <w:rPr>
        <w:rFonts w:hint="default"/>
        <w:b w:val="0"/>
        <w:i w:val="0"/>
      </w:rPr>
    </w:lvl>
    <w:lvl w:ilvl="1">
      <w:start w:val="2"/>
      <w:numFmt w:val="decimal"/>
      <w:isLgl/>
      <w:lvlText w:val="%1.%2."/>
      <w:lvlJc w:val="left"/>
      <w:pPr>
        <w:ind w:left="846" w:hanging="420"/>
      </w:pPr>
      <w:rPr>
        <w:rFonts w:eastAsiaTheme="minorEastAsia" w:hint="default"/>
        <w:b/>
        <w:sz w:val="28"/>
      </w:rPr>
    </w:lvl>
    <w:lvl w:ilvl="2">
      <w:start w:val="1"/>
      <w:numFmt w:val="decimal"/>
      <w:isLgl/>
      <w:lvlText w:val="%1.%2.%3."/>
      <w:lvlJc w:val="left"/>
      <w:pPr>
        <w:ind w:left="862" w:hanging="720"/>
      </w:pPr>
      <w:rPr>
        <w:rFonts w:eastAsiaTheme="minorEastAsia" w:hint="default"/>
        <w:b/>
        <w:sz w:val="28"/>
      </w:rPr>
    </w:lvl>
    <w:lvl w:ilvl="3">
      <w:start w:val="1"/>
      <w:numFmt w:val="decimal"/>
      <w:isLgl/>
      <w:lvlText w:val="%1.%2.%3.%4."/>
      <w:lvlJc w:val="left"/>
      <w:pPr>
        <w:ind w:left="862" w:hanging="720"/>
      </w:pPr>
      <w:rPr>
        <w:rFonts w:eastAsiaTheme="minorEastAsia" w:hint="default"/>
        <w:b/>
        <w:sz w:val="28"/>
      </w:rPr>
    </w:lvl>
    <w:lvl w:ilvl="4">
      <w:start w:val="1"/>
      <w:numFmt w:val="decimal"/>
      <w:isLgl/>
      <w:lvlText w:val="%1.%2.%3.%4.%5."/>
      <w:lvlJc w:val="left"/>
      <w:pPr>
        <w:ind w:left="1222" w:hanging="1080"/>
      </w:pPr>
      <w:rPr>
        <w:rFonts w:eastAsiaTheme="minorEastAsia" w:hint="default"/>
        <w:b/>
        <w:sz w:val="28"/>
      </w:rPr>
    </w:lvl>
    <w:lvl w:ilvl="5">
      <w:start w:val="1"/>
      <w:numFmt w:val="decimal"/>
      <w:isLgl/>
      <w:lvlText w:val="%1.%2.%3.%4.%5.%6."/>
      <w:lvlJc w:val="left"/>
      <w:pPr>
        <w:ind w:left="1222" w:hanging="1080"/>
      </w:pPr>
      <w:rPr>
        <w:rFonts w:eastAsiaTheme="minorEastAsia" w:hint="default"/>
        <w:b/>
        <w:sz w:val="28"/>
      </w:rPr>
    </w:lvl>
    <w:lvl w:ilvl="6">
      <w:start w:val="1"/>
      <w:numFmt w:val="decimal"/>
      <w:isLgl/>
      <w:lvlText w:val="%1.%2.%3.%4.%5.%6.%7."/>
      <w:lvlJc w:val="left"/>
      <w:pPr>
        <w:ind w:left="1582" w:hanging="1440"/>
      </w:pPr>
      <w:rPr>
        <w:rFonts w:eastAsiaTheme="minorEastAsia" w:hint="default"/>
        <w:b/>
        <w:sz w:val="28"/>
      </w:rPr>
    </w:lvl>
    <w:lvl w:ilvl="7">
      <w:start w:val="1"/>
      <w:numFmt w:val="decimal"/>
      <w:isLgl/>
      <w:lvlText w:val="%1.%2.%3.%4.%5.%6.%7.%8."/>
      <w:lvlJc w:val="left"/>
      <w:pPr>
        <w:ind w:left="1582" w:hanging="1440"/>
      </w:pPr>
      <w:rPr>
        <w:rFonts w:eastAsiaTheme="minorEastAsia" w:hint="default"/>
        <w:b/>
        <w:sz w:val="28"/>
      </w:rPr>
    </w:lvl>
    <w:lvl w:ilvl="8">
      <w:start w:val="1"/>
      <w:numFmt w:val="decimal"/>
      <w:isLgl/>
      <w:lvlText w:val="%1.%2.%3.%4.%5.%6.%7.%8.%9."/>
      <w:lvlJc w:val="left"/>
      <w:pPr>
        <w:ind w:left="1942" w:hanging="1800"/>
      </w:pPr>
      <w:rPr>
        <w:rFonts w:eastAsiaTheme="minorEastAsia" w:hint="default"/>
        <w:b/>
        <w:sz w:val="28"/>
      </w:rPr>
    </w:lvl>
  </w:abstractNum>
  <w:abstractNum w:abstractNumId="11" w15:restartNumberingAfterBreak="0">
    <w:nsid w:val="73F71A01"/>
    <w:multiLevelType w:val="hybridMultilevel"/>
    <w:tmpl w:val="A1666C7A"/>
    <w:lvl w:ilvl="0" w:tplc="0419000B">
      <w:start w:val="1"/>
      <w:numFmt w:val="bullet"/>
      <w:lvlText w:val=""/>
      <w:lvlJc w:val="left"/>
      <w:pPr>
        <w:ind w:left="1561" w:hanging="360"/>
      </w:pPr>
      <w:rPr>
        <w:rFonts w:ascii="Wingdings" w:hAnsi="Wingdings" w:hint="default"/>
      </w:rPr>
    </w:lvl>
    <w:lvl w:ilvl="1" w:tplc="04190003" w:tentative="1">
      <w:start w:val="1"/>
      <w:numFmt w:val="bullet"/>
      <w:lvlText w:val="o"/>
      <w:lvlJc w:val="left"/>
      <w:pPr>
        <w:ind w:left="2281" w:hanging="360"/>
      </w:pPr>
      <w:rPr>
        <w:rFonts w:ascii="Courier New" w:hAnsi="Courier New" w:cs="Courier New" w:hint="default"/>
      </w:rPr>
    </w:lvl>
    <w:lvl w:ilvl="2" w:tplc="04190005" w:tentative="1">
      <w:start w:val="1"/>
      <w:numFmt w:val="bullet"/>
      <w:lvlText w:val=""/>
      <w:lvlJc w:val="left"/>
      <w:pPr>
        <w:ind w:left="3001" w:hanging="360"/>
      </w:pPr>
      <w:rPr>
        <w:rFonts w:ascii="Wingdings" w:hAnsi="Wingdings" w:hint="default"/>
      </w:rPr>
    </w:lvl>
    <w:lvl w:ilvl="3" w:tplc="04190001" w:tentative="1">
      <w:start w:val="1"/>
      <w:numFmt w:val="bullet"/>
      <w:lvlText w:val=""/>
      <w:lvlJc w:val="left"/>
      <w:pPr>
        <w:ind w:left="3721" w:hanging="360"/>
      </w:pPr>
      <w:rPr>
        <w:rFonts w:ascii="Symbol" w:hAnsi="Symbol" w:hint="default"/>
      </w:rPr>
    </w:lvl>
    <w:lvl w:ilvl="4" w:tplc="04190003" w:tentative="1">
      <w:start w:val="1"/>
      <w:numFmt w:val="bullet"/>
      <w:lvlText w:val="o"/>
      <w:lvlJc w:val="left"/>
      <w:pPr>
        <w:ind w:left="4441" w:hanging="360"/>
      </w:pPr>
      <w:rPr>
        <w:rFonts w:ascii="Courier New" w:hAnsi="Courier New" w:cs="Courier New" w:hint="default"/>
      </w:rPr>
    </w:lvl>
    <w:lvl w:ilvl="5" w:tplc="04190005" w:tentative="1">
      <w:start w:val="1"/>
      <w:numFmt w:val="bullet"/>
      <w:lvlText w:val=""/>
      <w:lvlJc w:val="left"/>
      <w:pPr>
        <w:ind w:left="5161" w:hanging="360"/>
      </w:pPr>
      <w:rPr>
        <w:rFonts w:ascii="Wingdings" w:hAnsi="Wingdings" w:hint="default"/>
      </w:rPr>
    </w:lvl>
    <w:lvl w:ilvl="6" w:tplc="04190001" w:tentative="1">
      <w:start w:val="1"/>
      <w:numFmt w:val="bullet"/>
      <w:lvlText w:val=""/>
      <w:lvlJc w:val="left"/>
      <w:pPr>
        <w:ind w:left="5881" w:hanging="360"/>
      </w:pPr>
      <w:rPr>
        <w:rFonts w:ascii="Symbol" w:hAnsi="Symbol" w:hint="default"/>
      </w:rPr>
    </w:lvl>
    <w:lvl w:ilvl="7" w:tplc="04190003" w:tentative="1">
      <w:start w:val="1"/>
      <w:numFmt w:val="bullet"/>
      <w:lvlText w:val="o"/>
      <w:lvlJc w:val="left"/>
      <w:pPr>
        <w:ind w:left="6601" w:hanging="360"/>
      </w:pPr>
      <w:rPr>
        <w:rFonts w:ascii="Courier New" w:hAnsi="Courier New" w:cs="Courier New" w:hint="default"/>
      </w:rPr>
    </w:lvl>
    <w:lvl w:ilvl="8" w:tplc="04190005" w:tentative="1">
      <w:start w:val="1"/>
      <w:numFmt w:val="bullet"/>
      <w:lvlText w:val=""/>
      <w:lvlJc w:val="left"/>
      <w:pPr>
        <w:ind w:left="7321" w:hanging="360"/>
      </w:pPr>
      <w:rPr>
        <w:rFonts w:ascii="Wingdings" w:hAnsi="Wingdings" w:hint="default"/>
      </w:rPr>
    </w:lvl>
  </w:abstractNum>
  <w:abstractNum w:abstractNumId="12" w15:restartNumberingAfterBreak="0">
    <w:nsid w:val="7D476F3C"/>
    <w:multiLevelType w:val="multilevel"/>
    <w:tmpl w:val="06FC40F4"/>
    <w:lvl w:ilvl="0">
      <w:start w:val="1"/>
      <w:numFmt w:val="decimal"/>
      <w:lvlText w:val="%1."/>
      <w:lvlJc w:val="left"/>
      <w:pPr>
        <w:ind w:left="720" w:hanging="360"/>
      </w:pPr>
      <w:rPr>
        <w:rFonts w:hint="default"/>
      </w:rPr>
    </w:lvl>
    <w:lvl w:ilvl="1">
      <w:start w:val="1"/>
      <w:numFmt w:val="decimal"/>
      <w:isLgl/>
      <w:lvlText w:val="%1.%2."/>
      <w:lvlJc w:val="left"/>
      <w:pPr>
        <w:ind w:left="734"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673871561">
    <w:abstractNumId w:val="6"/>
  </w:num>
  <w:num w:numId="2" w16cid:durableId="759331617">
    <w:abstractNumId w:val="7"/>
  </w:num>
  <w:num w:numId="3" w16cid:durableId="124354401">
    <w:abstractNumId w:val="1"/>
  </w:num>
  <w:num w:numId="4" w16cid:durableId="155609214">
    <w:abstractNumId w:val="5"/>
  </w:num>
  <w:num w:numId="5" w16cid:durableId="74137010">
    <w:abstractNumId w:val="9"/>
  </w:num>
  <w:num w:numId="6" w16cid:durableId="1237666616">
    <w:abstractNumId w:val="8"/>
  </w:num>
  <w:num w:numId="7" w16cid:durableId="493380585">
    <w:abstractNumId w:val="10"/>
  </w:num>
  <w:num w:numId="8" w16cid:durableId="1413510357">
    <w:abstractNumId w:val="11"/>
  </w:num>
  <w:num w:numId="9" w16cid:durableId="1864129894">
    <w:abstractNumId w:val="0"/>
  </w:num>
  <w:num w:numId="10" w16cid:durableId="1845851530">
    <w:abstractNumId w:val="12"/>
  </w:num>
  <w:num w:numId="11" w16cid:durableId="560675252">
    <w:abstractNumId w:val="3"/>
  </w:num>
  <w:num w:numId="12" w16cid:durableId="1888374858">
    <w:abstractNumId w:val="2"/>
  </w:num>
  <w:num w:numId="13" w16cid:durableId="3739672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8F9"/>
    <w:rsid w:val="00000006"/>
    <w:rsid w:val="00000F7E"/>
    <w:rsid w:val="00001107"/>
    <w:rsid w:val="0000150A"/>
    <w:rsid w:val="0000156A"/>
    <w:rsid w:val="00002D80"/>
    <w:rsid w:val="00002E2F"/>
    <w:rsid w:val="00003431"/>
    <w:rsid w:val="00004523"/>
    <w:rsid w:val="00005063"/>
    <w:rsid w:val="00005D42"/>
    <w:rsid w:val="00006459"/>
    <w:rsid w:val="0000652A"/>
    <w:rsid w:val="00006BED"/>
    <w:rsid w:val="00006F16"/>
    <w:rsid w:val="000072A2"/>
    <w:rsid w:val="00010885"/>
    <w:rsid w:val="00012AFF"/>
    <w:rsid w:val="00012F1C"/>
    <w:rsid w:val="00013EB1"/>
    <w:rsid w:val="00013FD4"/>
    <w:rsid w:val="00014BF4"/>
    <w:rsid w:val="00015106"/>
    <w:rsid w:val="00015903"/>
    <w:rsid w:val="000163C8"/>
    <w:rsid w:val="00016793"/>
    <w:rsid w:val="00016F2C"/>
    <w:rsid w:val="00020C23"/>
    <w:rsid w:val="00020C5B"/>
    <w:rsid w:val="00020D4E"/>
    <w:rsid w:val="00022AC6"/>
    <w:rsid w:val="00024245"/>
    <w:rsid w:val="00026E92"/>
    <w:rsid w:val="00026F02"/>
    <w:rsid w:val="000300DD"/>
    <w:rsid w:val="00030872"/>
    <w:rsid w:val="000313AA"/>
    <w:rsid w:val="00031663"/>
    <w:rsid w:val="00031FBD"/>
    <w:rsid w:val="0003217A"/>
    <w:rsid w:val="00033E29"/>
    <w:rsid w:val="00034CA0"/>
    <w:rsid w:val="000356EC"/>
    <w:rsid w:val="00035EAC"/>
    <w:rsid w:val="0003609F"/>
    <w:rsid w:val="00036201"/>
    <w:rsid w:val="00037479"/>
    <w:rsid w:val="00037480"/>
    <w:rsid w:val="00040CD2"/>
    <w:rsid w:val="0004289A"/>
    <w:rsid w:val="000430F9"/>
    <w:rsid w:val="00043A4D"/>
    <w:rsid w:val="00043C08"/>
    <w:rsid w:val="0004426E"/>
    <w:rsid w:val="00044E95"/>
    <w:rsid w:val="00045DE6"/>
    <w:rsid w:val="00046A5C"/>
    <w:rsid w:val="00046DDE"/>
    <w:rsid w:val="00050C93"/>
    <w:rsid w:val="00051596"/>
    <w:rsid w:val="000523FD"/>
    <w:rsid w:val="00052765"/>
    <w:rsid w:val="00053016"/>
    <w:rsid w:val="0005312A"/>
    <w:rsid w:val="0005473A"/>
    <w:rsid w:val="000557B7"/>
    <w:rsid w:val="0005595A"/>
    <w:rsid w:val="00056053"/>
    <w:rsid w:val="00057711"/>
    <w:rsid w:val="00060A89"/>
    <w:rsid w:val="0006150A"/>
    <w:rsid w:val="00061996"/>
    <w:rsid w:val="00063390"/>
    <w:rsid w:val="000635F6"/>
    <w:rsid w:val="000637CA"/>
    <w:rsid w:val="00063E39"/>
    <w:rsid w:val="000650D4"/>
    <w:rsid w:val="00065855"/>
    <w:rsid w:val="00065873"/>
    <w:rsid w:val="00065BEA"/>
    <w:rsid w:val="00067166"/>
    <w:rsid w:val="00067498"/>
    <w:rsid w:val="0006778A"/>
    <w:rsid w:val="000701BB"/>
    <w:rsid w:val="00071670"/>
    <w:rsid w:val="00071C4B"/>
    <w:rsid w:val="000720C7"/>
    <w:rsid w:val="00072C8F"/>
    <w:rsid w:val="00073AAA"/>
    <w:rsid w:val="0007419D"/>
    <w:rsid w:val="00074F1E"/>
    <w:rsid w:val="000758E1"/>
    <w:rsid w:val="00076204"/>
    <w:rsid w:val="00077378"/>
    <w:rsid w:val="000811C0"/>
    <w:rsid w:val="00081FEC"/>
    <w:rsid w:val="00083F7F"/>
    <w:rsid w:val="00083FEC"/>
    <w:rsid w:val="000858C2"/>
    <w:rsid w:val="00085972"/>
    <w:rsid w:val="000869B3"/>
    <w:rsid w:val="0008719E"/>
    <w:rsid w:val="0008740F"/>
    <w:rsid w:val="00087652"/>
    <w:rsid w:val="00087EB1"/>
    <w:rsid w:val="00090D2E"/>
    <w:rsid w:val="00091E8B"/>
    <w:rsid w:val="000932AB"/>
    <w:rsid w:val="0009371B"/>
    <w:rsid w:val="00096151"/>
    <w:rsid w:val="00097B64"/>
    <w:rsid w:val="000A1682"/>
    <w:rsid w:val="000A24E3"/>
    <w:rsid w:val="000A31D3"/>
    <w:rsid w:val="000A35D1"/>
    <w:rsid w:val="000A425A"/>
    <w:rsid w:val="000A473A"/>
    <w:rsid w:val="000A568A"/>
    <w:rsid w:val="000A7366"/>
    <w:rsid w:val="000A7835"/>
    <w:rsid w:val="000A79C7"/>
    <w:rsid w:val="000B0815"/>
    <w:rsid w:val="000B36DE"/>
    <w:rsid w:val="000B4D8A"/>
    <w:rsid w:val="000B529B"/>
    <w:rsid w:val="000B57C8"/>
    <w:rsid w:val="000B64D1"/>
    <w:rsid w:val="000B6673"/>
    <w:rsid w:val="000B67CF"/>
    <w:rsid w:val="000B6C38"/>
    <w:rsid w:val="000B71B5"/>
    <w:rsid w:val="000C00B5"/>
    <w:rsid w:val="000C04FB"/>
    <w:rsid w:val="000C2591"/>
    <w:rsid w:val="000C3053"/>
    <w:rsid w:val="000C366E"/>
    <w:rsid w:val="000C4309"/>
    <w:rsid w:val="000C5C00"/>
    <w:rsid w:val="000C5D14"/>
    <w:rsid w:val="000C664C"/>
    <w:rsid w:val="000C7319"/>
    <w:rsid w:val="000D0253"/>
    <w:rsid w:val="000D05E8"/>
    <w:rsid w:val="000D1A64"/>
    <w:rsid w:val="000D3BE9"/>
    <w:rsid w:val="000D3E0C"/>
    <w:rsid w:val="000D504C"/>
    <w:rsid w:val="000D506F"/>
    <w:rsid w:val="000D5175"/>
    <w:rsid w:val="000D5419"/>
    <w:rsid w:val="000D6244"/>
    <w:rsid w:val="000D7AE2"/>
    <w:rsid w:val="000E0AE2"/>
    <w:rsid w:val="000E39B7"/>
    <w:rsid w:val="000E48F6"/>
    <w:rsid w:val="000E4EC9"/>
    <w:rsid w:val="000E4FEC"/>
    <w:rsid w:val="000E5B56"/>
    <w:rsid w:val="000E5F14"/>
    <w:rsid w:val="000E7BE5"/>
    <w:rsid w:val="000F0213"/>
    <w:rsid w:val="000F15CF"/>
    <w:rsid w:val="000F1CD5"/>
    <w:rsid w:val="000F2A8C"/>
    <w:rsid w:val="000F361A"/>
    <w:rsid w:val="000F3ED0"/>
    <w:rsid w:val="000F40D2"/>
    <w:rsid w:val="000F495F"/>
    <w:rsid w:val="000F4A5B"/>
    <w:rsid w:val="000F55DA"/>
    <w:rsid w:val="000F55FF"/>
    <w:rsid w:val="000F59A3"/>
    <w:rsid w:val="000F67C6"/>
    <w:rsid w:val="000F76A3"/>
    <w:rsid w:val="001006FD"/>
    <w:rsid w:val="00100C74"/>
    <w:rsid w:val="00102316"/>
    <w:rsid w:val="00102FE7"/>
    <w:rsid w:val="00103631"/>
    <w:rsid w:val="00106251"/>
    <w:rsid w:val="001118F9"/>
    <w:rsid w:val="00113224"/>
    <w:rsid w:val="00113E41"/>
    <w:rsid w:val="00113FCB"/>
    <w:rsid w:val="001145E8"/>
    <w:rsid w:val="00116101"/>
    <w:rsid w:val="00121415"/>
    <w:rsid w:val="0012172D"/>
    <w:rsid w:val="001227DF"/>
    <w:rsid w:val="00122A77"/>
    <w:rsid w:val="00124174"/>
    <w:rsid w:val="0012483E"/>
    <w:rsid w:val="001253B5"/>
    <w:rsid w:val="00130074"/>
    <w:rsid w:val="00130693"/>
    <w:rsid w:val="001314FA"/>
    <w:rsid w:val="001314FD"/>
    <w:rsid w:val="001315B3"/>
    <w:rsid w:val="00132CD9"/>
    <w:rsid w:val="001366A9"/>
    <w:rsid w:val="00137002"/>
    <w:rsid w:val="00137C7F"/>
    <w:rsid w:val="00141BA0"/>
    <w:rsid w:val="00141FD1"/>
    <w:rsid w:val="001427CA"/>
    <w:rsid w:val="001438CD"/>
    <w:rsid w:val="0014471C"/>
    <w:rsid w:val="001447A3"/>
    <w:rsid w:val="00146047"/>
    <w:rsid w:val="00146F25"/>
    <w:rsid w:val="001505CC"/>
    <w:rsid w:val="00150783"/>
    <w:rsid w:val="00152E53"/>
    <w:rsid w:val="00152F8B"/>
    <w:rsid w:val="00155354"/>
    <w:rsid w:val="001555A0"/>
    <w:rsid w:val="00155FAF"/>
    <w:rsid w:val="001562A8"/>
    <w:rsid w:val="0015771F"/>
    <w:rsid w:val="00157A86"/>
    <w:rsid w:val="00160519"/>
    <w:rsid w:val="001609B3"/>
    <w:rsid w:val="00160AAC"/>
    <w:rsid w:val="00164614"/>
    <w:rsid w:val="00164B06"/>
    <w:rsid w:val="00165F97"/>
    <w:rsid w:val="00166428"/>
    <w:rsid w:val="00166DDE"/>
    <w:rsid w:val="0017196E"/>
    <w:rsid w:val="001728AA"/>
    <w:rsid w:val="00172AC2"/>
    <w:rsid w:val="0017311F"/>
    <w:rsid w:val="00173254"/>
    <w:rsid w:val="001742DA"/>
    <w:rsid w:val="001753C9"/>
    <w:rsid w:val="001771CD"/>
    <w:rsid w:val="0017727F"/>
    <w:rsid w:val="00177EC9"/>
    <w:rsid w:val="001800FA"/>
    <w:rsid w:val="001820A1"/>
    <w:rsid w:val="00182459"/>
    <w:rsid w:val="0018388E"/>
    <w:rsid w:val="00183D77"/>
    <w:rsid w:val="001864EA"/>
    <w:rsid w:val="001868B3"/>
    <w:rsid w:val="00187337"/>
    <w:rsid w:val="00187A8B"/>
    <w:rsid w:val="0019069D"/>
    <w:rsid w:val="0019090E"/>
    <w:rsid w:val="00190A15"/>
    <w:rsid w:val="00191F49"/>
    <w:rsid w:val="0019373C"/>
    <w:rsid w:val="00193B6F"/>
    <w:rsid w:val="00193E08"/>
    <w:rsid w:val="0019621B"/>
    <w:rsid w:val="001A0989"/>
    <w:rsid w:val="001A0F7D"/>
    <w:rsid w:val="001A31FC"/>
    <w:rsid w:val="001A5103"/>
    <w:rsid w:val="001A6FC0"/>
    <w:rsid w:val="001B00F1"/>
    <w:rsid w:val="001B06E9"/>
    <w:rsid w:val="001B0A15"/>
    <w:rsid w:val="001B0DC7"/>
    <w:rsid w:val="001B1ED2"/>
    <w:rsid w:val="001B3BE9"/>
    <w:rsid w:val="001B3BF2"/>
    <w:rsid w:val="001B3C3D"/>
    <w:rsid w:val="001C10F2"/>
    <w:rsid w:val="001C150B"/>
    <w:rsid w:val="001C3364"/>
    <w:rsid w:val="001C3500"/>
    <w:rsid w:val="001C39AA"/>
    <w:rsid w:val="001C3B11"/>
    <w:rsid w:val="001C3DF8"/>
    <w:rsid w:val="001C52C5"/>
    <w:rsid w:val="001C60A0"/>
    <w:rsid w:val="001C6470"/>
    <w:rsid w:val="001C6B82"/>
    <w:rsid w:val="001C7D0E"/>
    <w:rsid w:val="001D0835"/>
    <w:rsid w:val="001D39D8"/>
    <w:rsid w:val="001D4143"/>
    <w:rsid w:val="001D429D"/>
    <w:rsid w:val="001D5028"/>
    <w:rsid w:val="001D562A"/>
    <w:rsid w:val="001D6449"/>
    <w:rsid w:val="001D6B09"/>
    <w:rsid w:val="001D71F3"/>
    <w:rsid w:val="001D7B4B"/>
    <w:rsid w:val="001D7DB0"/>
    <w:rsid w:val="001E0309"/>
    <w:rsid w:val="001E0319"/>
    <w:rsid w:val="001E09D1"/>
    <w:rsid w:val="001E2085"/>
    <w:rsid w:val="001E2CF5"/>
    <w:rsid w:val="001E3D91"/>
    <w:rsid w:val="001E4378"/>
    <w:rsid w:val="001E4D8E"/>
    <w:rsid w:val="001E567C"/>
    <w:rsid w:val="001E59FF"/>
    <w:rsid w:val="001E61EC"/>
    <w:rsid w:val="001E729B"/>
    <w:rsid w:val="001F1B9A"/>
    <w:rsid w:val="001F319D"/>
    <w:rsid w:val="001F32CE"/>
    <w:rsid w:val="001F3B8F"/>
    <w:rsid w:val="001F4727"/>
    <w:rsid w:val="002006DE"/>
    <w:rsid w:val="00200D54"/>
    <w:rsid w:val="00201633"/>
    <w:rsid w:val="002018CF"/>
    <w:rsid w:val="002023EA"/>
    <w:rsid w:val="00202491"/>
    <w:rsid w:val="002047FD"/>
    <w:rsid w:val="00207136"/>
    <w:rsid w:val="00207287"/>
    <w:rsid w:val="00210061"/>
    <w:rsid w:val="00211192"/>
    <w:rsid w:val="00211724"/>
    <w:rsid w:val="002130E1"/>
    <w:rsid w:val="002159DC"/>
    <w:rsid w:val="00215F17"/>
    <w:rsid w:val="0021642C"/>
    <w:rsid w:val="00216AED"/>
    <w:rsid w:val="0021757A"/>
    <w:rsid w:val="0022129F"/>
    <w:rsid w:val="00221FA1"/>
    <w:rsid w:val="00222364"/>
    <w:rsid w:val="0022352F"/>
    <w:rsid w:val="0022425F"/>
    <w:rsid w:val="00225A31"/>
    <w:rsid w:val="00225DF6"/>
    <w:rsid w:val="002277DE"/>
    <w:rsid w:val="00230EA2"/>
    <w:rsid w:val="0023136C"/>
    <w:rsid w:val="00232BD7"/>
    <w:rsid w:val="00235571"/>
    <w:rsid w:val="0023698D"/>
    <w:rsid w:val="0023745F"/>
    <w:rsid w:val="00237D7D"/>
    <w:rsid w:val="00237DA1"/>
    <w:rsid w:val="00240A87"/>
    <w:rsid w:val="00243BCD"/>
    <w:rsid w:val="00244DD2"/>
    <w:rsid w:val="00246B34"/>
    <w:rsid w:val="00246B70"/>
    <w:rsid w:val="00246C2E"/>
    <w:rsid w:val="0024780B"/>
    <w:rsid w:val="00247DF2"/>
    <w:rsid w:val="002511FC"/>
    <w:rsid w:val="00251820"/>
    <w:rsid w:val="00252D1B"/>
    <w:rsid w:val="002536E2"/>
    <w:rsid w:val="00254D98"/>
    <w:rsid w:val="0025538F"/>
    <w:rsid w:val="00255831"/>
    <w:rsid w:val="00255C2D"/>
    <w:rsid w:val="00256CDF"/>
    <w:rsid w:val="0025707D"/>
    <w:rsid w:val="0025752D"/>
    <w:rsid w:val="00257BB7"/>
    <w:rsid w:val="0026012F"/>
    <w:rsid w:val="002612AD"/>
    <w:rsid w:val="00261444"/>
    <w:rsid w:val="002617A6"/>
    <w:rsid w:val="002624CE"/>
    <w:rsid w:val="00264183"/>
    <w:rsid w:val="0026465B"/>
    <w:rsid w:val="0026790C"/>
    <w:rsid w:val="002679E3"/>
    <w:rsid w:val="00270121"/>
    <w:rsid w:val="00270CD8"/>
    <w:rsid w:val="00270F18"/>
    <w:rsid w:val="00270FBB"/>
    <w:rsid w:val="0027210B"/>
    <w:rsid w:val="00272C51"/>
    <w:rsid w:val="00273C4C"/>
    <w:rsid w:val="002745E3"/>
    <w:rsid w:val="00274A8D"/>
    <w:rsid w:val="00275530"/>
    <w:rsid w:val="00276220"/>
    <w:rsid w:val="00276594"/>
    <w:rsid w:val="00276685"/>
    <w:rsid w:val="00276F9F"/>
    <w:rsid w:val="00277F84"/>
    <w:rsid w:val="00280106"/>
    <w:rsid w:val="002802C4"/>
    <w:rsid w:val="002805FF"/>
    <w:rsid w:val="002807C5"/>
    <w:rsid w:val="00280A2F"/>
    <w:rsid w:val="00280DDA"/>
    <w:rsid w:val="00281D1B"/>
    <w:rsid w:val="00282404"/>
    <w:rsid w:val="00282718"/>
    <w:rsid w:val="002835A2"/>
    <w:rsid w:val="00284C81"/>
    <w:rsid w:val="00285129"/>
    <w:rsid w:val="0028528C"/>
    <w:rsid w:val="00287164"/>
    <w:rsid w:val="002879D8"/>
    <w:rsid w:val="00290736"/>
    <w:rsid w:val="00290B72"/>
    <w:rsid w:val="00290BF3"/>
    <w:rsid w:val="00291613"/>
    <w:rsid w:val="00291B12"/>
    <w:rsid w:val="00292E7B"/>
    <w:rsid w:val="002938DA"/>
    <w:rsid w:val="00294317"/>
    <w:rsid w:val="00294AF2"/>
    <w:rsid w:val="00295E55"/>
    <w:rsid w:val="002960BE"/>
    <w:rsid w:val="00296606"/>
    <w:rsid w:val="00296631"/>
    <w:rsid w:val="00296CAF"/>
    <w:rsid w:val="002973CE"/>
    <w:rsid w:val="002A0A37"/>
    <w:rsid w:val="002A0FCA"/>
    <w:rsid w:val="002A1048"/>
    <w:rsid w:val="002A36AE"/>
    <w:rsid w:val="002A36D3"/>
    <w:rsid w:val="002A3D28"/>
    <w:rsid w:val="002A74FF"/>
    <w:rsid w:val="002B1B31"/>
    <w:rsid w:val="002B394C"/>
    <w:rsid w:val="002B5945"/>
    <w:rsid w:val="002B5D8B"/>
    <w:rsid w:val="002C2C3E"/>
    <w:rsid w:val="002C2F8F"/>
    <w:rsid w:val="002C3FF5"/>
    <w:rsid w:val="002C4701"/>
    <w:rsid w:val="002C604C"/>
    <w:rsid w:val="002C6342"/>
    <w:rsid w:val="002C666B"/>
    <w:rsid w:val="002C744E"/>
    <w:rsid w:val="002C7738"/>
    <w:rsid w:val="002C7B9C"/>
    <w:rsid w:val="002C7DD5"/>
    <w:rsid w:val="002D2541"/>
    <w:rsid w:val="002D2FB6"/>
    <w:rsid w:val="002D33F5"/>
    <w:rsid w:val="002D36FB"/>
    <w:rsid w:val="002D4809"/>
    <w:rsid w:val="002D4851"/>
    <w:rsid w:val="002D5B08"/>
    <w:rsid w:val="002D5F3C"/>
    <w:rsid w:val="002D65B0"/>
    <w:rsid w:val="002D7673"/>
    <w:rsid w:val="002D7EA3"/>
    <w:rsid w:val="002E0A40"/>
    <w:rsid w:val="002E1629"/>
    <w:rsid w:val="002E50E3"/>
    <w:rsid w:val="002E5D55"/>
    <w:rsid w:val="002E6124"/>
    <w:rsid w:val="002E7059"/>
    <w:rsid w:val="002E722D"/>
    <w:rsid w:val="002E7DAE"/>
    <w:rsid w:val="002F00C9"/>
    <w:rsid w:val="002F0444"/>
    <w:rsid w:val="002F1E22"/>
    <w:rsid w:val="002F1F17"/>
    <w:rsid w:val="002F2EC2"/>
    <w:rsid w:val="002F554B"/>
    <w:rsid w:val="002F7C79"/>
    <w:rsid w:val="002F7EBE"/>
    <w:rsid w:val="00300BE8"/>
    <w:rsid w:val="0030218C"/>
    <w:rsid w:val="00302914"/>
    <w:rsid w:val="00304137"/>
    <w:rsid w:val="00304972"/>
    <w:rsid w:val="00304B93"/>
    <w:rsid w:val="003051E5"/>
    <w:rsid w:val="0030738E"/>
    <w:rsid w:val="00307D47"/>
    <w:rsid w:val="00307EE0"/>
    <w:rsid w:val="003114A6"/>
    <w:rsid w:val="003114EA"/>
    <w:rsid w:val="00311935"/>
    <w:rsid w:val="0031208D"/>
    <w:rsid w:val="003157B2"/>
    <w:rsid w:val="0031658F"/>
    <w:rsid w:val="00317BE1"/>
    <w:rsid w:val="00317D76"/>
    <w:rsid w:val="003204B9"/>
    <w:rsid w:val="00321C69"/>
    <w:rsid w:val="00323481"/>
    <w:rsid w:val="00323B7F"/>
    <w:rsid w:val="00324C71"/>
    <w:rsid w:val="00327201"/>
    <w:rsid w:val="00327D93"/>
    <w:rsid w:val="003303DB"/>
    <w:rsid w:val="0033100F"/>
    <w:rsid w:val="00331A08"/>
    <w:rsid w:val="00331CA0"/>
    <w:rsid w:val="003327D3"/>
    <w:rsid w:val="00332A37"/>
    <w:rsid w:val="00332DE0"/>
    <w:rsid w:val="0033352A"/>
    <w:rsid w:val="0033366A"/>
    <w:rsid w:val="003351D7"/>
    <w:rsid w:val="00335950"/>
    <w:rsid w:val="00336128"/>
    <w:rsid w:val="0033648C"/>
    <w:rsid w:val="0033707D"/>
    <w:rsid w:val="0034148B"/>
    <w:rsid w:val="00342B30"/>
    <w:rsid w:val="00342FC9"/>
    <w:rsid w:val="00343FA4"/>
    <w:rsid w:val="00344C8D"/>
    <w:rsid w:val="00346AE7"/>
    <w:rsid w:val="003471D0"/>
    <w:rsid w:val="003471FA"/>
    <w:rsid w:val="00347E8F"/>
    <w:rsid w:val="00350212"/>
    <w:rsid w:val="00350B1C"/>
    <w:rsid w:val="00350F6A"/>
    <w:rsid w:val="003510FA"/>
    <w:rsid w:val="00351D15"/>
    <w:rsid w:val="0035297B"/>
    <w:rsid w:val="00352B5D"/>
    <w:rsid w:val="00353A33"/>
    <w:rsid w:val="00353FFB"/>
    <w:rsid w:val="00356BAE"/>
    <w:rsid w:val="003571AB"/>
    <w:rsid w:val="00357CC4"/>
    <w:rsid w:val="00360BAC"/>
    <w:rsid w:val="0036130F"/>
    <w:rsid w:val="00361F6C"/>
    <w:rsid w:val="0036402C"/>
    <w:rsid w:val="003652A8"/>
    <w:rsid w:val="00365905"/>
    <w:rsid w:val="00366C5A"/>
    <w:rsid w:val="00366F80"/>
    <w:rsid w:val="0036741C"/>
    <w:rsid w:val="003674F5"/>
    <w:rsid w:val="003701AC"/>
    <w:rsid w:val="00371B7F"/>
    <w:rsid w:val="0037377E"/>
    <w:rsid w:val="00375609"/>
    <w:rsid w:val="00375D71"/>
    <w:rsid w:val="00376298"/>
    <w:rsid w:val="003773D7"/>
    <w:rsid w:val="00377EAE"/>
    <w:rsid w:val="00381D2E"/>
    <w:rsid w:val="003852B7"/>
    <w:rsid w:val="0038550A"/>
    <w:rsid w:val="003867C8"/>
    <w:rsid w:val="00386CE3"/>
    <w:rsid w:val="003903ED"/>
    <w:rsid w:val="00390C1E"/>
    <w:rsid w:val="00391705"/>
    <w:rsid w:val="003927D2"/>
    <w:rsid w:val="00393102"/>
    <w:rsid w:val="00393304"/>
    <w:rsid w:val="00393376"/>
    <w:rsid w:val="0039381F"/>
    <w:rsid w:val="00394958"/>
    <w:rsid w:val="0039652B"/>
    <w:rsid w:val="003A00D0"/>
    <w:rsid w:val="003A09EF"/>
    <w:rsid w:val="003A0DB7"/>
    <w:rsid w:val="003A2D1B"/>
    <w:rsid w:val="003A38DF"/>
    <w:rsid w:val="003A3B75"/>
    <w:rsid w:val="003A47AD"/>
    <w:rsid w:val="003A69F8"/>
    <w:rsid w:val="003A6D63"/>
    <w:rsid w:val="003B09C6"/>
    <w:rsid w:val="003B1134"/>
    <w:rsid w:val="003B17A9"/>
    <w:rsid w:val="003B1D8C"/>
    <w:rsid w:val="003B3D37"/>
    <w:rsid w:val="003B3DF7"/>
    <w:rsid w:val="003B5712"/>
    <w:rsid w:val="003B64DD"/>
    <w:rsid w:val="003B6F58"/>
    <w:rsid w:val="003B7236"/>
    <w:rsid w:val="003C166B"/>
    <w:rsid w:val="003C1F32"/>
    <w:rsid w:val="003C677D"/>
    <w:rsid w:val="003D0238"/>
    <w:rsid w:val="003D0D41"/>
    <w:rsid w:val="003D1E03"/>
    <w:rsid w:val="003D2945"/>
    <w:rsid w:val="003D2A68"/>
    <w:rsid w:val="003D351E"/>
    <w:rsid w:val="003D354B"/>
    <w:rsid w:val="003D36FB"/>
    <w:rsid w:val="003D3CF1"/>
    <w:rsid w:val="003D43E1"/>
    <w:rsid w:val="003D44D2"/>
    <w:rsid w:val="003D4DB9"/>
    <w:rsid w:val="003D4F74"/>
    <w:rsid w:val="003D5A75"/>
    <w:rsid w:val="003E013A"/>
    <w:rsid w:val="003E0506"/>
    <w:rsid w:val="003E183A"/>
    <w:rsid w:val="003E1CBE"/>
    <w:rsid w:val="003E1CC8"/>
    <w:rsid w:val="003E2180"/>
    <w:rsid w:val="003E302E"/>
    <w:rsid w:val="003E44F7"/>
    <w:rsid w:val="003E4DA3"/>
    <w:rsid w:val="003E51D9"/>
    <w:rsid w:val="003E6C07"/>
    <w:rsid w:val="003E7E7B"/>
    <w:rsid w:val="003F028F"/>
    <w:rsid w:val="003F0ED0"/>
    <w:rsid w:val="003F1947"/>
    <w:rsid w:val="003F1D44"/>
    <w:rsid w:val="003F1E80"/>
    <w:rsid w:val="003F2283"/>
    <w:rsid w:val="003F491E"/>
    <w:rsid w:val="003F4C1A"/>
    <w:rsid w:val="003F5DA0"/>
    <w:rsid w:val="003F5FA6"/>
    <w:rsid w:val="003F7403"/>
    <w:rsid w:val="00400AB4"/>
    <w:rsid w:val="00401616"/>
    <w:rsid w:val="00406A66"/>
    <w:rsid w:val="00406F4F"/>
    <w:rsid w:val="00407A71"/>
    <w:rsid w:val="00407B78"/>
    <w:rsid w:val="00407B90"/>
    <w:rsid w:val="00407E6A"/>
    <w:rsid w:val="00411E3F"/>
    <w:rsid w:val="004123D7"/>
    <w:rsid w:val="00412AE1"/>
    <w:rsid w:val="00413049"/>
    <w:rsid w:val="00414448"/>
    <w:rsid w:val="00416586"/>
    <w:rsid w:val="004168E3"/>
    <w:rsid w:val="00417B45"/>
    <w:rsid w:val="00417CC0"/>
    <w:rsid w:val="0042078F"/>
    <w:rsid w:val="004226B8"/>
    <w:rsid w:val="00422C92"/>
    <w:rsid w:val="004235A0"/>
    <w:rsid w:val="004245BE"/>
    <w:rsid w:val="00425E37"/>
    <w:rsid w:val="00426343"/>
    <w:rsid w:val="00427539"/>
    <w:rsid w:val="00427802"/>
    <w:rsid w:val="004302B3"/>
    <w:rsid w:val="00430879"/>
    <w:rsid w:val="00431C1F"/>
    <w:rsid w:val="00433A2B"/>
    <w:rsid w:val="00434572"/>
    <w:rsid w:val="004346FB"/>
    <w:rsid w:val="00434FC2"/>
    <w:rsid w:val="004350A5"/>
    <w:rsid w:val="00436840"/>
    <w:rsid w:val="004378D7"/>
    <w:rsid w:val="004402EB"/>
    <w:rsid w:val="00440EE1"/>
    <w:rsid w:val="00441142"/>
    <w:rsid w:val="00441220"/>
    <w:rsid w:val="004419E5"/>
    <w:rsid w:val="00441DB4"/>
    <w:rsid w:val="00441EC4"/>
    <w:rsid w:val="004452B8"/>
    <w:rsid w:val="00445C35"/>
    <w:rsid w:val="00445FBB"/>
    <w:rsid w:val="00450700"/>
    <w:rsid w:val="00450C8D"/>
    <w:rsid w:val="00450ED4"/>
    <w:rsid w:val="00451022"/>
    <w:rsid w:val="00451372"/>
    <w:rsid w:val="004531ED"/>
    <w:rsid w:val="00453510"/>
    <w:rsid w:val="00453808"/>
    <w:rsid w:val="00453D43"/>
    <w:rsid w:val="00453DF1"/>
    <w:rsid w:val="00453EB3"/>
    <w:rsid w:val="0045461B"/>
    <w:rsid w:val="00455CED"/>
    <w:rsid w:val="0045749C"/>
    <w:rsid w:val="00457D42"/>
    <w:rsid w:val="00460B46"/>
    <w:rsid w:val="004622BF"/>
    <w:rsid w:val="00462569"/>
    <w:rsid w:val="00462E3E"/>
    <w:rsid w:val="004636F4"/>
    <w:rsid w:val="00463724"/>
    <w:rsid w:val="0046395B"/>
    <w:rsid w:val="00463B83"/>
    <w:rsid w:val="00464DE4"/>
    <w:rsid w:val="004653D1"/>
    <w:rsid w:val="004665AC"/>
    <w:rsid w:val="004668CB"/>
    <w:rsid w:val="00470156"/>
    <w:rsid w:val="00471110"/>
    <w:rsid w:val="00471D50"/>
    <w:rsid w:val="004725D4"/>
    <w:rsid w:val="00472663"/>
    <w:rsid w:val="004730B4"/>
    <w:rsid w:val="00474432"/>
    <w:rsid w:val="00474481"/>
    <w:rsid w:val="00474497"/>
    <w:rsid w:val="00474E41"/>
    <w:rsid w:val="004765D9"/>
    <w:rsid w:val="00476F32"/>
    <w:rsid w:val="004772F2"/>
    <w:rsid w:val="00477CBF"/>
    <w:rsid w:val="00480A45"/>
    <w:rsid w:val="004812A2"/>
    <w:rsid w:val="0048163C"/>
    <w:rsid w:val="004823CE"/>
    <w:rsid w:val="0048324C"/>
    <w:rsid w:val="0048447B"/>
    <w:rsid w:val="004874F1"/>
    <w:rsid w:val="004915B2"/>
    <w:rsid w:val="004917C2"/>
    <w:rsid w:val="004924DB"/>
    <w:rsid w:val="0049312A"/>
    <w:rsid w:val="00493805"/>
    <w:rsid w:val="00494950"/>
    <w:rsid w:val="004961CB"/>
    <w:rsid w:val="0049671E"/>
    <w:rsid w:val="004A07AD"/>
    <w:rsid w:val="004A0F25"/>
    <w:rsid w:val="004A130F"/>
    <w:rsid w:val="004A2670"/>
    <w:rsid w:val="004A30F9"/>
    <w:rsid w:val="004A3569"/>
    <w:rsid w:val="004A49C6"/>
    <w:rsid w:val="004A5C0F"/>
    <w:rsid w:val="004A6574"/>
    <w:rsid w:val="004A69C9"/>
    <w:rsid w:val="004A6F26"/>
    <w:rsid w:val="004A7253"/>
    <w:rsid w:val="004B1C2A"/>
    <w:rsid w:val="004B2C6D"/>
    <w:rsid w:val="004B3F3E"/>
    <w:rsid w:val="004B5929"/>
    <w:rsid w:val="004B61C7"/>
    <w:rsid w:val="004B62F7"/>
    <w:rsid w:val="004C08EF"/>
    <w:rsid w:val="004C10FB"/>
    <w:rsid w:val="004C169F"/>
    <w:rsid w:val="004C4652"/>
    <w:rsid w:val="004C49BE"/>
    <w:rsid w:val="004C4C5A"/>
    <w:rsid w:val="004C536F"/>
    <w:rsid w:val="004C6FFA"/>
    <w:rsid w:val="004C7255"/>
    <w:rsid w:val="004C76EA"/>
    <w:rsid w:val="004C7C77"/>
    <w:rsid w:val="004D20D2"/>
    <w:rsid w:val="004D3C78"/>
    <w:rsid w:val="004D57FB"/>
    <w:rsid w:val="004D6048"/>
    <w:rsid w:val="004D61D9"/>
    <w:rsid w:val="004D780E"/>
    <w:rsid w:val="004E1939"/>
    <w:rsid w:val="004E2997"/>
    <w:rsid w:val="004E2C1C"/>
    <w:rsid w:val="004E540A"/>
    <w:rsid w:val="004E5CCF"/>
    <w:rsid w:val="004E5E38"/>
    <w:rsid w:val="004E6B7B"/>
    <w:rsid w:val="004F0832"/>
    <w:rsid w:val="004F1CFB"/>
    <w:rsid w:val="004F238D"/>
    <w:rsid w:val="004F2425"/>
    <w:rsid w:val="004F3D5F"/>
    <w:rsid w:val="004F3F48"/>
    <w:rsid w:val="004F44B7"/>
    <w:rsid w:val="004F53E0"/>
    <w:rsid w:val="004F604C"/>
    <w:rsid w:val="005014A0"/>
    <w:rsid w:val="00503163"/>
    <w:rsid w:val="00503BC4"/>
    <w:rsid w:val="0050474C"/>
    <w:rsid w:val="005049CF"/>
    <w:rsid w:val="00505739"/>
    <w:rsid w:val="00505AFC"/>
    <w:rsid w:val="0050624C"/>
    <w:rsid w:val="005100C6"/>
    <w:rsid w:val="005104EB"/>
    <w:rsid w:val="00510639"/>
    <w:rsid w:val="00510A95"/>
    <w:rsid w:val="0051156D"/>
    <w:rsid w:val="00512501"/>
    <w:rsid w:val="00513202"/>
    <w:rsid w:val="00513591"/>
    <w:rsid w:val="0051400F"/>
    <w:rsid w:val="0051405D"/>
    <w:rsid w:val="00514A92"/>
    <w:rsid w:val="005159EB"/>
    <w:rsid w:val="005204A0"/>
    <w:rsid w:val="00520D13"/>
    <w:rsid w:val="0052115C"/>
    <w:rsid w:val="005218CE"/>
    <w:rsid w:val="00522FD8"/>
    <w:rsid w:val="00523D5D"/>
    <w:rsid w:val="005244AE"/>
    <w:rsid w:val="00524DCA"/>
    <w:rsid w:val="0052538F"/>
    <w:rsid w:val="005255AE"/>
    <w:rsid w:val="00525697"/>
    <w:rsid w:val="00526152"/>
    <w:rsid w:val="005264BA"/>
    <w:rsid w:val="00527473"/>
    <w:rsid w:val="005276DA"/>
    <w:rsid w:val="00527DE9"/>
    <w:rsid w:val="00527E08"/>
    <w:rsid w:val="00530971"/>
    <w:rsid w:val="00531329"/>
    <w:rsid w:val="00531E1E"/>
    <w:rsid w:val="00532437"/>
    <w:rsid w:val="00532F07"/>
    <w:rsid w:val="00533A6B"/>
    <w:rsid w:val="0053560D"/>
    <w:rsid w:val="0053661F"/>
    <w:rsid w:val="0053735C"/>
    <w:rsid w:val="0053759E"/>
    <w:rsid w:val="00537A71"/>
    <w:rsid w:val="00540300"/>
    <w:rsid w:val="00541994"/>
    <w:rsid w:val="0054297B"/>
    <w:rsid w:val="00542FBD"/>
    <w:rsid w:val="0054353E"/>
    <w:rsid w:val="005444C0"/>
    <w:rsid w:val="005447FE"/>
    <w:rsid w:val="00545462"/>
    <w:rsid w:val="00546840"/>
    <w:rsid w:val="00546DF6"/>
    <w:rsid w:val="00547829"/>
    <w:rsid w:val="00551B08"/>
    <w:rsid w:val="00551E02"/>
    <w:rsid w:val="005522E7"/>
    <w:rsid w:val="0055378B"/>
    <w:rsid w:val="005538F4"/>
    <w:rsid w:val="00554066"/>
    <w:rsid w:val="00554C8A"/>
    <w:rsid w:val="00560188"/>
    <w:rsid w:val="00560713"/>
    <w:rsid w:val="0056235C"/>
    <w:rsid w:val="0056248B"/>
    <w:rsid w:val="005625D8"/>
    <w:rsid w:val="005637FC"/>
    <w:rsid w:val="00563FF1"/>
    <w:rsid w:val="00567250"/>
    <w:rsid w:val="00567486"/>
    <w:rsid w:val="0056795B"/>
    <w:rsid w:val="0057023B"/>
    <w:rsid w:val="0057044A"/>
    <w:rsid w:val="00570B85"/>
    <w:rsid w:val="005716CD"/>
    <w:rsid w:val="0057175C"/>
    <w:rsid w:val="00572C22"/>
    <w:rsid w:val="005732F0"/>
    <w:rsid w:val="005732F7"/>
    <w:rsid w:val="00573DE4"/>
    <w:rsid w:val="00574695"/>
    <w:rsid w:val="005758AA"/>
    <w:rsid w:val="00575D5F"/>
    <w:rsid w:val="00576F6C"/>
    <w:rsid w:val="00580E00"/>
    <w:rsid w:val="00585E1A"/>
    <w:rsid w:val="0058691B"/>
    <w:rsid w:val="00591414"/>
    <w:rsid w:val="00594062"/>
    <w:rsid w:val="005958CC"/>
    <w:rsid w:val="00596817"/>
    <w:rsid w:val="005968FB"/>
    <w:rsid w:val="00596970"/>
    <w:rsid w:val="00596FAD"/>
    <w:rsid w:val="005970A4"/>
    <w:rsid w:val="00597D61"/>
    <w:rsid w:val="005A1051"/>
    <w:rsid w:val="005A1A34"/>
    <w:rsid w:val="005A1BB8"/>
    <w:rsid w:val="005A313B"/>
    <w:rsid w:val="005A320D"/>
    <w:rsid w:val="005A39AE"/>
    <w:rsid w:val="005A407E"/>
    <w:rsid w:val="005A4D8C"/>
    <w:rsid w:val="005A52A4"/>
    <w:rsid w:val="005A6A2E"/>
    <w:rsid w:val="005A6CC0"/>
    <w:rsid w:val="005B3200"/>
    <w:rsid w:val="005B5330"/>
    <w:rsid w:val="005B56C6"/>
    <w:rsid w:val="005B72A8"/>
    <w:rsid w:val="005C10EB"/>
    <w:rsid w:val="005C2036"/>
    <w:rsid w:val="005C2946"/>
    <w:rsid w:val="005C48C3"/>
    <w:rsid w:val="005C5283"/>
    <w:rsid w:val="005C5C6B"/>
    <w:rsid w:val="005C6186"/>
    <w:rsid w:val="005C6C00"/>
    <w:rsid w:val="005C7423"/>
    <w:rsid w:val="005C7D13"/>
    <w:rsid w:val="005D0B59"/>
    <w:rsid w:val="005D0DA2"/>
    <w:rsid w:val="005D0F15"/>
    <w:rsid w:val="005D1625"/>
    <w:rsid w:val="005D1A9C"/>
    <w:rsid w:val="005D270A"/>
    <w:rsid w:val="005D4C2C"/>
    <w:rsid w:val="005D50B2"/>
    <w:rsid w:val="005D5C44"/>
    <w:rsid w:val="005D5E53"/>
    <w:rsid w:val="005D6366"/>
    <w:rsid w:val="005D6A79"/>
    <w:rsid w:val="005D7201"/>
    <w:rsid w:val="005D7621"/>
    <w:rsid w:val="005E1E84"/>
    <w:rsid w:val="005E22D6"/>
    <w:rsid w:val="005E26C6"/>
    <w:rsid w:val="005E2EAA"/>
    <w:rsid w:val="005E3C61"/>
    <w:rsid w:val="005E3C9B"/>
    <w:rsid w:val="005E3F71"/>
    <w:rsid w:val="005E42AA"/>
    <w:rsid w:val="005E4A28"/>
    <w:rsid w:val="005E5C71"/>
    <w:rsid w:val="005E6C0A"/>
    <w:rsid w:val="005E7308"/>
    <w:rsid w:val="005F000E"/>
    <w:rsid w:val="005F0058"/>
    <w:rsid w:val="005F110C"/>
    <w:rsid w:val="005F14F8"/>
    <w:rsid w:val="005F1998"/>
    <w:rsid w:val="005F1ABD"/>
    <w:rsid w:val="005F2192"/>
    <w:rsid w:val="005F35C9"/>
    <w:rsid w:val="005F3D12"/>
    <w:rsid w:val="005F429F"/>
    <w:rsid w:val="005F4AA2"/>
    <w:rsid w:val="005F6F4A"/>
    <w:rsid w:val="005F7613"/>
    <w:rsid w:val="00600D04"/>
    <w:rsid w:val="00600DA5"/>
    <w:rsid w:val="006012F9"/>
    <w:rsid w:val="00601AC1"/>
    <w:rsid w:val="006031B9"/>
    <w:rsid w:val="006037CD"/>
    <w:rsid w:val="00603B8C"/>
    <w:rsid w:val="0060586D"/>
    <w:rsid w:val="00605BCE"/>
    <w:rsid w:val="00607483"/>
    <w:rsid w:val="006102BB"/>
    <w:rsid w:val="00611901"/>
    <w:rsid w:val="006125FB"/>
    <w:rsid w:val="0061367C"/>
    <w:rsid w:val="0061453C"/>
    <w:rsid w:val="00615666"/>
    <w:rsid w:val="00620C02"/>
    <w:rsid w:val="00621A2E"/>
    <w:rsid w:val="0062323D"/>
    <w:rsid w:val="006238D4"/>
    <w:rsid w:val="00623F0F"/>
    <w:rsid w:val="00624AD8"/>
    <w:rsid w:val="00625AA6"/>
    <w:rsid w:val="0062753C"/>
    <w:rsid w:val="00627F31"/>
    <w:rsid w:val="00630425"/>
    <w:rsid w:val="006314F4"/>
    <w:rsid w:val="00631DDE"/>
    <w:rsid w:val="0063343C"/>
    <w:rsid w:val="00633907"/>
    <w:rsid w:val="00634D3A"/>
    <w:rsid w:val="006365E0"/>
    <w:rsid w:val="00636DAB"/>
    <w:rsid w:val="00637F3B"/>
    <w:rsid w:val="006405D4"/>
    <w:rsid w:val="00642059"/>
    <w:rsid w:val="00644D4E"/>
    <w:rsid w:val="00645605"/>
    <w:rsid w:val="00645D65"/>
    <w:rsid w:val="006461E0"/>
    <w:rsid w:val="00646BB1"/>
    <w:rsid w:val="0064706E"/>
    <w:rsid w:val="0064769C"/>
    <w:rsid w:val="006508ED"/>
    <w:rsid w:val="00650C68"/>
    <w:rsid w:val="006517F5"/>
    <w:rsid w:val="00651F91"/>
    <w:rsid w:val="00652707"/>
    <w:rsid w:val="006527B9"/>
    <w:rsid w:val="00652C3B"/>
    <w:rsid w:val="00653472"/>
    <w:rsid w:val="00653F7F"/>
    <w:rsid w:val="00654674"/>
    <w:rsid w:val="00657974"/>
    <w:rsid w:val="00661817"/>
    <w:rsid w:val="006623D7"/>
    <w:rsid w:val="006627F3"/>
    <w:rsid w:val="00664149"/>
    <w:rsid w:val="00664686"/>
    <w:rsid w:val="00664B39"/>
    <w:rsid w:val="00664DE5"/>
    <w:rsid w:val="00665129"/>
    <w:rsid w:val="00665C89"/>
    <w:rsid w:val="00666BAC"/>
    <w:rsid w:val="006703BF"/>
    <w:rsid w:val="00670934"/>
    <w:rsid w:val="00670A7A"/>
    <w:rsid w:val="006710E2"/>
    <w:rsid w:val="0067128F"/>
    <w:rsid w:val="00672D9E"/>
    <w:rsid w:val="00673FBE"/>
    <w:rsid w:val="0067487E"/>
    <w:rsid w:val="00674BC0"/>
    <w:rsid w:val="00674BD7"/>
    <w:rsid w:val="006759D2"/>
    <w:rsid w:val="006772FF"/>
    <w:rsid w:val="00680675"/>
    <w:rsid w:val="00680CFA"/>
    <w:rsid w:val="00682BED"/>
    <w:rsid w:val="00683520"/>
    <w:rsid w:val="006836A2"/>
    <w:rsid w:val="00686651"/>
    <w:rsid w:val="0069129C"/>
    <w:rsid w:val="0069355F"/>
    <w:rsid w:val="006942AB"/>
    <w:rsid w:val="00695864"/>
    <w:rsid w:val="006A0C68"/>
    <w:rsid w:val="006A0CA6"/>
    <w:rsid w:val="006A2579"/>
    <w:rsid w:val="006A2F4B"/>
    <w:rsid w:val="006A31A0"/>
    <w:rsid w:val="006A376D"/>
    <w:rsid w:val="006A3BB0"/>
    <w:rsid w:val="006A4031"/>
    <w:rsid w:val="006A422B"/>
    <w:rsid w:val="006A4C30"/>
    <w:rsid w:val="006A5D10"/>
    <w:rsid w:val="006A75EC"/>
    <w:rsid w:val="006A7641"/>
    <w:rsid w:val="006A7E1C"/>
    <w:rsid w:val="006A7F5C"/>
    <w:rsid w:val="006B0927"/>
    <w:rsid w:val="006B1159"/>
    <w:rsid w:val="006B188E"/>
    <w:rsid w:val="006B1BD0"/>
    <w:rsid w:val="006B363A"/>
    <w:rsid w:val="006B6288"/>
    <w:rsid w:val="006B6965"/>
    <w:rsid w:val="006B6EC8"/>
    <w:rsid w:val="006B7357"/>
    <w:rsid w:val="006C05D5"/>
    <w:rsid w:val="006C0B1D"/>
    <w:rsid w:val="006C2A71"/>
    <w:rsid w:val="006C49B1"/>
    <w:rsid w:val="006C49E8"/>
    <w:rsid w:val="006C4C69"/>
    <w:rsid w:val="006C518E"/>
    <w:rsid w:val="006C63B7"/>
    <w:rsid w:val="006C66F4"/>
    <w:rsid w:val="006C745E"/>
    <w:rsid w:val="006D0252"/>
    <w:rsid w:val="006D0943"/>
    <w:rsid w:val="006D1BF7"/>
    <w:rsid w:val="006D2D4C"/>
    <w:rsid w:val="006D313F"/>
    <w:rsid w:val="006D3188"/>
    <w:rsid w:val="006D3FDD"/>
    <w:rsid w:val="006D4E8A"/>
    <w:rsid w:val="006D5B8C"/>
    <w:rsid w:val="006D5BAE"/>
    <w:rsid w:val="006D5D82"/>
    <w:rsid w:val="006D612F"/>
    <w:rsid w:val="006D695B"/>
    <w:rsid w:val="006D783D"/>
    <w:rsid w:val="006E0522"/>
    <w:rsid w:val="006E2566"/>
    <w:rsid w:val="006E2952"/>
    <w:rsid w:val="006E394E"/>
    <w:rsid w:val="006E73F0"/>
    <w:rsid w:val="006F312D"/>
    <w:rsid w:val="006F3D81"/>
    <w:rsid w:val="006F5159"/>
    <w:rsid w:val="006F6A42"/>
    <w:rsid w:val="006F787A"/>
    <w:rsid w:val="006F7F36"/>
    <w:rsid w:val="007007F2"/>
    <w:rsid w:val="0070099B"/>
    <w:rsid w:val="00702725"/>
    <w:rsid w:val="00706A44"/>
    <w:rsid w:val="00707AC8"/>
    <w:rsid w:val="00711337"/>
    <w:rsid w:val="00711AA1"/>
    <w:rsid w:val="007122AC"/>
    <w:rsid w:val="0071283C"/>
    <w:rsid w:val="00713091"/>
    <w:rsid w:val="007131BC"/>
    <w:rsid w:val="00714788"/>
    <w:rsid w:val="007157F5"/>
    <w:rsid w:val="00715800"/>
    <w:rsid w:val="00715EEB"/>
    <w:rsid w:val="00716F75"/>
    <w:rsid w:val="0072082F"/>
    <w:rsid w:val="00721DB6"/>
    <w:rsid w:val="007220FC"/>
    <w:rsid w:val="0072219A"/>
    <w:rsid w:val="007261D0"/>
    <w:rsid w:val="00726E20"/>
    <w:rsid w:val="00727173"/>
    <w:rsid w:val="00727D9F"/>
    <w:rsid w:val="0073001D"/>
    <w:rsid w:val="00730754"/>
    <w:rsid w:val="0073136C"/>
    <w:rsid w:val="00731AAD"/>
    <w:rsid w:val="00731C67"/>
    <w:rsid w:val="00731FEF"/>
    <w:rsid w:val="007329C9"/>
    <w:rsid w:val="007329E9"/>
    <w:rsid w:val="00732AA4"/>
    <w:rsid w:val="00733104"/>
    <w:rsid w:val="00733769"/>
    <w:rsid w:val="00733BF8"/>
    <w:rsid w:val="007348FA"/>
    <w:rsid w:val="00734AC6"/>
    <w:rsid w:val="0073558D"/>
    <w:rsid w:val="00735767"/>
    <w:rsid w:val="0073655D"/>
    <w:rsid w:val="00737E73"/>
    <w:rsid w:val="00740233"/>
    <w:rsid w:val="007416C7"/>
    <w:rsid w:val="00741D93"/>
    <w:rsid w:val="007421CB"/>
    <w:rsid w:val="007433E5"/>
    <w:rsid w:val="007440F5"/>
    <w:rsid w:val="007461D7"/>
    <w:rsid w:val="00746756"/>
    <w:rsid w:val="00747639"/>
    <w:rsid w:val="00750AA5"/>
    <w:rsid w:val="00750DB1"/>
    <w:rsid w:val="00750DE7"/>
    <w:rsid w:val="00751531"/>
    <w:rsid w:val="00751EC0"/>
    <w:rsid w:val="00753C75"/>
    <w:rsid w:val="00754C44"/>
    <w:rsid w:val="007569C7"/>
    <w:rsid w:val="00756F5D"/>
    <w:rsid w:val="007578DB"/>
    <w:rsid w:val="0076219B"/>
    <w:rsid w:val="00762673"/>
    <w:rsid w:val="00763696"/>
    <w:rsid w:val="007664E8"/>
    <w:rsid w:val="007713FF"/>
    <w:rsid w:val="00771735"/>
    <w:rsid w:val="00771F9E"/>
    <w:rsid w:val="00772502"/>
    <w:rsid w:val="00773179"/>
    <w:rsid w:val="00773821"/>
    <w:rsid w:val="0077489C"/>
    <w:rsid w:val="007750D2"/>
    <w:rsid w:val="0077526F"/>
    <w:rsid w:val="00777AF5"/>
    <w:rsid w:val="00777D01"/>
    <w:rsid w:val="00777F81"/>
    <w:rsid w:val="00781129"/>
    <w:rsid w:val="00781A16"/>
    <w:rsid w:val="00782645"/>
    <w:rsid w:val="007827D5"/>
    <w:rsid w:val="00784172"/>
    <w:rsid w:val="007857E3"/>
    <w:rsid w:val="007866A2"/>
    <w:rsid w:val="007900A6"/>
    <w:rsid w:val="00793C0C"/>
    <w:rsid w:val="007946A3"/>
    <w:rsid w:val="007957D9"/>
    <w:rsid w:val="007958AC"/>
    <w:rsid w:val="00795D99"/>
    <w:rsid w:val="0079651E"/>
    <w:rsid w:val="00796A02"/>
    <w:rsid w:val="007A0880"/>
    <w:rsid w:val="007A0EFE"/>
    <w:rsid w:val="007A1A2D"/>
    <w:rsid w:val="007A4093"/>
    <w:rsid w:val="007A43CD"/>
    <w:rsid w:val="007A4CF2"/>
    <w:rsid w:val="007A4FAA"/>
    <w:rsid w:val="007A5BFB"/>
    <w:rsid w:val="007A5C86"/>
    <w:rsid w:val="007A5D26"/>
    <w:rsid w:val="007A6648"/>
    <w:rsid w:val="007A7FC2"/>
    <w:rsid w:val="007A7FCE"/>
    <w:rsid w:val="007B0632"/>
    <w:rsid w:val="007B09A9"/>
    <w:rsid w:val="007B0F6D"/>
    <w:rsid w:val="007B1495"/>
    <w:rsid w:val="007B20A2"/>
    <w:rsid w:val="007B22BE"/>
    <w:rsid w:val="007B316D"/>
    <w:rsid w:val="007B3B14"/>
    <w:rsid w:val="007B453F"/>
    <w:rsid w:val="007B480C"/>
    <w:rsid w:val="007B4F71"/>
    <w:rsid w:val="007B60EB"/>
    <w:rsid w:val="007B6403"/>
    <w:rsid w:val="007B7C0F"/>
    <w:rsid w:val="007C0AC5"/>
    <w:rsid w:val="007C37A7"/>
    <w:rsid w:val="007C3BBF"/>
    <w:rsid w:val="007C4582"/>
    <w:rsid w:val="007C4EDE"/>
    <w:rsid w:val="007C5902"/>
    <w:rsid w:val="007C62D2"/>
    <w:rsid w:val="007C6A01"/>
    <w:rsid w:val="007C74DA"/>
    <w:rsid w:val="007C7546"/>
    <w:rsid w:val="007C7A74"/>
    <w:rsid w:val="007C7C21"/>
    <w:rsid w:val="007D0D78"/>
    <w:rsid w:val="007D2B13"/>
    <w:rsid w:val="007D3FB1"/>
    <w:rsid w:val="007D5A86"/>
    <w:rsid w:val="007D658D"/>
    <w:rsid w:val="007D6B2B"/>
    <w:rsid w:val="007E0EFC"/>
    <w:rsid w:val="007E214D"/>
    <w:rsid w:val="007E48A3"/>
    <w:rsid w:val="007E498E"/>
    <w:rsid w:val="007E4E0C"/>
    <w:rsid w:val="007E4F7B"/>
    <w:rsid w:val="007E5CD6"/>
    <w:rsid w:val="007E6832"/>
    <w:rsid w:val="007E68F8"/>
    <w:rsid w:val="007E7BA7"/>
    <w:rsid w:val="007F0692"/>
    <w:rsid w:val="007F0F4E"/>
    <w:rsid w:val="007F20D1"/>
    <w:rsid w:val="007F3728"/>
    <w:rsid w:val="007F4DD1"/>
    <w:rsid w:val="007F5008"/>
    <w:rsid w:val="007F5EFA"/>
    <w:rsid w:val="008005CE"/>
    <w:rsid w:val="008011BE"/>
    <w:rsid w:val="00801427"/>
    <w:rsid w:val="00801935"/>
    <w:rsid w:val="00802410"/>
    <w:rsid w:val="00803BF8"/>
    <w:rsid w:val="00804418"/>
    <w:rsid w:val="00806545"/>
    <w:rsid w:val="0080686C"/>
    <w:rsid w:val="00807880"/>
    <w:rsid w:val="00810D23"/>
    <w:rsid w:val="008129F4"/>
    <w:rsid w:val="00812F8F"/>
    <w:rsid w:val="00816A56"/>
    <w:rsid w:val="00817C49"/>
    <w:rsid w:val="00820027"/>
    <w:rsid w:val="00822B7E"/>
    <w:rsid w:val="0082328F"/>
    <w:rsid w:val="008237B9"/>
    <w:rsid w:val="008257CB"/>
    <w:rsid w:val="00825B4C"/>
    <w:rsid w:val="00826CFB"/>
    <w:rsid w:val="00827780"/>
    <w:rsid w:val="008279BA"/>
    <w:rsid w:val="008279F9"/>
    <w:rsid w:val="00830161"/>
    <w:rsid w:val="008310F6"/>
    <w:rsid w:val="00831245"/>
    <w:rsid w:val="00831250"/>
    <w:rsid w:val="008314CE"/>
    <w:rsid w:val="00832CBF"/>
    <w:rsid w:val="00833033"/>
    <w:rsid w:val="008337CE"/>
    <w:rsid w:val="00833D18"/>
    <w:rsid w:val="00833F96"/>
    <w:rsid w:val="0083451B"/>
    <w:rsid w:val="00836101"/>
    <w:rsid w:val="00836449"/>
    <w:rsid w:val="0083666F"/>
    <w:rsid w:val="00840C36"/>
    <w:rsid w:val="00840E40"/>
    <w:rsid w:val="008436B5"/>
    <w:rsid w:val="00843A2D"/>
    <w:rsid w:val="00843DC3"/>
    <w:rsid w:val="00846139"/>
    <w:rsid w:val="0084621A"/>
    <w:rsid w:val="00847E00"/>
    <w:rsid w:val="00850BF6"/>
    <w:rsid w:val="008511F6"/>
    <w:rsid w:val="0085184C"/>
    <w:rsid w:val="00851BA0"/>
    <w:rsid w:val="00852748"/>
    <w:rsid w:val="00852944"/>
    <w:rsid w:val="00854209"/>
    <w:rsid w:val="00854686"/>
    <w:rsid w:val="00854F6B"/>
    <w:rsid w:val="00855868"/>
    <w:rsid w:val="008560B5"/>
    <w:rsid w:val="0086070F"/>
    <w:rsid w:val="0086155B"/>
    <w:rsid w:val="008615A3"/>
    <w:rsid w:val="00861C46"/>
    <w:rsid w:val="00863753"/>
    <w:rsid w:val="00863B56"/>
    <w:rsid w:val="0086466E"/>
    <w:rsid w:val="0086536C"/>
    <w:rsid w:val="008658C1"/>
    <w:rsid w:val="008703CD"/>
    <w:rsid w:val="00870A8C"/>
    <w:rsid w:val="008720B5"/>
    <w:rsid w:val="008724EB"/>
    <w:rsid w:val="00872EA6"/>
    <w:rsid w:val="00874ED7"/>
    <w:rsid w:val="00877992"/>
    <w:rsid w:val="00881B39"/>
    <w:rsid w:val="008850A1"/>
    <w:rsid w:val="00887577"/>
    <w:rsid w:val="008907DA"/>
    <w:rsid w:val="008928E9"/>
    <w:rsid w:val="008949A6"/>
    <w:rsid w:val="00895763"/>
    <w:rsid w:val="00895FF1"/>
    <w:rsid w:val="00896A0D"/>
    <w:rsid w:val="008973A3"/>
    <w:rsid w:val="00897CAD"/>
    <w:rsid w:val="008A0C82"/>
    <w:rsid w:val="008A1757"/>
    <w:rsid w:val="008A3820"/>
    <w:rsid w:val="008A3D4E"/>
    <w:rsid w:val="008A493A"/>
    <w:rsid w:val="008A568C"/>
    <w:rsid w:val="008A6F8E"/>
    <w:rsid w:val="008A74A1"/>
    <w:rsid w:val="008A7AD8"/>
    <w:rsid w:val="008A7ECD"/>
    <w:rsid w:val="008B072B"/>
    <w:rsid w:val="008B26C5"/>
    <w:rsid w:val="008B3408"/>
    <w:rsid w:val="008B491C"/>
    <w:rsid w:val="008B586F"/>
    <w:rsid w:val="008B597F"/>
    <w:rsid w:val="008B60B9"/>
    <w:rsid w:val="008B615A"/>
    <w:rsid w:val="008B7FC9"/>
    <w:rsid w:val="008C04E7"/>
    <w:rsid w:val="008C0686"/>
    <w:rsid w:val="008C25A4"/>
    <w:rsid w:val="008C26B8"/>
    <w:rsid w:val="008C3C02"/>
    <w:rsid w:val="008C431A"/>
    <w:rsid w:val="008C50B2"/>
    <w:rsid w:val="008D27E9"/>
    <w:rsid w:val="008D34BA"/>
    <w:rsid w:val="008D4AD7"/>
    <w:rsid w:val="008D4D75"/>
    <w:rsid w:val="008D72B6"/>
    <w:rsid w:val="008E016E"/>
    <w:rsid w:val="008E066F"/>
    <w:rsid w:val="008E0C6E"/>
    <w:rsid w:val="008E29CA"/>
    <w:rsid w:val="008E32AD"/>
    <w:rsid w:val="008E36AE"/>
    <w:rsid w:val="008E43A1"/>
    <w:rsid w:val="008E5477"/>
    <w:rsid w:val="008E5627"/>
    <w:rsid w:val="008E6D91"/>
    <w:rsid w:val="008E79BD"/>
    <w:rsid w:val="008E7CC0"/>
    <w:rsid w:val="008F0CE9"/>
    <w:rsid w:val="008F111B"/>
    <w:rsid w:val="008F21F5"/>
    <w:rsid w:val="008F2346"/>
    <w:rsid w:val="008F2582"/>
    <w:rsid w:val="008F39D7"/>
    <w:rsid w:val="008F665B"/>
    <w:rsid w:val="008F6821"/>
    <w:rsid w:val="0090327B"/>
    <w:rsid w:val="009042B6"/>
    <w:rsid w:val="00906071"/>
    <w:rsid w:val="00910224"/>
    <w:rsid w:val="009104A2"/>
    <w:rsid w:val="00913688"/>
    <w:rsid w:val="00915370"/>
    <w:rsid w:val="009155C2"/>
    <w:rsid w:val="0091588D"/>
    <w:rsid w:val="00916F23"/>
    <w:rsid w:val="009200CB"/>
    <w:rsid w:val="0092014A"/>
    <w:rsid w:val="00920232"/>
    <w:rsid w:val="0092029A"/>
    <w:rsid w:val="00920AF9"/>
    <w:rsid w:val="00920F69"/>
    <w:rsid w:val="009217C3"/>
    <w:rsid w:val="00922F05"/>
    <w:rsid w:val="00923073"/>
    <w:rsid w:val="00926544"/>
    <w:rsid w:val="009301C8"/>
    <w:rsid w:val="00930715"/>
    <w:rsid w:val="00931188"/>
    <w:rsid w:val="0093165E"/>
    <w:rsid w:val="00931E58"/>
    <w:rsid w:val="00933636"/>
    <w:rsid w:val="0093431A"/>
    <w:rsid w:val="00936304"/>
    <w:rsid w:val="00936634"/>
    <w:rsid w:val="009367CA"/>
    <w:rsid w:val="00936CD0"/>
    <w:rsid w:val="00936E39"/>
    <w:rsid w:val="00937748"/>
    <w:rsid w:val="009402F0"/>
    <w:rsid w:val="0094048E"/>
    <w:rsid w:val="00940C1C"/>
    <w:rsid w:val="009416A5"/>
    <w:rsid w:val="0094256C"/>
    <w:rsid w:val="009425C5"/>
    <w:rsid w:val="009430D7"/>
    <w:rsid w:val="00943EFF"/>
    <w:rsid w:val="00944096"/>
    <w:rsid w:val="009444FD"/>
    <w:rsid w:val="009445DA"/>
    <w:rsid w:val="0094467D"/>
    <w:rsid w:val="00944E22"/>
    <w:rsid w:val="009450AA"/>
    <w:rsid w:val="00945159"/>
    <w:rsid w:val="00945E90"/>
    <w:rsid w:val="009472F8"/>
    <w:rsid w:val="00947A4A"/>
    <w:rsid w:val="00950A82"/>
    <w:rsid w:val="00951307"/>
    <w:rsid w:val="009550D3"/>
    <w:rsid w:val="009558C1"/>
    <w:rsid w:val="00955D5E"/>
    <w:rsid w:val="00956BF9"/>
    <w:rsid w:val="0095752B"/>
    <w:rsid w:val="00961F1A"/>
    <w:rsid w:val="00962BA5"/>
    <w:rsid w:val="00963446"/>
    <w:rsid w:val="009636D3"/>
    <w:rsid w:val="009637F2"/>
    <w:rsid w:val="00964289"/>
    <w:rsid w:val="0096495D"/>
    <w:rsid w:val="009649E7"/>
    <w:rsid w:val="00966836"/>
    <w:rsid w:val="00967086"/>
    <w:rsid w:val="0097127B"/>
    <w:rsid w:val="00971660"/>
    <w:rsid w:val="00974E75"/>
    <w:rsid w:val="00974E9E"/>
    <w:rsid w:val="00980C27"/>
    <w:rsid w:val="00981B77"/>
    <w:rsid w:val="00982E4C"/>
    <w:rsid w:val="00983BF7"/>
    <w:rsid w:val="00984FFF"/>
    <w:rsid w:val="00985C7D"/>
    <w:rsid w:val="00985DF0"/>
    <w:rsid w:val="0098618E"/>
    <w:rsid w:val="00986338"/>
    <w:rsid w:val="0098666D"/>
    <w:rsid w:val="00987F61"/>
    <w:rsid w:val="009911D6"/>
    <w:rsid w:val="00991FAB"/>
    <w:rsid w:val="00992AFE"/>
    <w:rsid w:val="00993CC3"/>
    <w:rsid w:val="009969AD"/>
    <w:rsid w:val="00997761"/>
    <w:rsid w:val="009978AE"/>
    <w:rsid w:val="009979BB"/>
    <w:rsid w:val="009A04AC"/>
    <w:rsid w:val="009A0E0A"/>
    <w:rsid w:val="009A0F2B"/>
    <w:rsid w:val="009A2537"/>
    <w:rsid w:val="009A2E32"/>
    <w:rsid w:val="009A41C3"/>
    <w:rsid w:val="009A4ED0"/>
    <w:rsid w:val="009A5247"/>
    <w:rsid w:val="009A57FA"/>
    <w:rsid w:val="009A5AF5"/>
    <w:rsid w:val="009A5C90"/>
    <w:rsid w:val="009A619C"/>
    <w:rsid w:val="009A7EBB"/>
    <w:rsid w:val="009B0A49"/>
    <w:rsid w:val="009B1377"/>
    <w:rsid w:val="009B1A6C"/>
    <w:rsid w:val="009B1F95"/>
    <w:rsid w:val="009B517A"/>
    <w:rsid w:val="009B58E8"/>
    <w:rsid w:val="009B6780"/>
    <w:rsid w:val="009B7353"/>
    <w:rsid w:val="009C074D"/>
    <w:rsid w:val="009C07EE"/>
    <w:rsid w:val="009C1D51"/>
    <w:rsid w:val="009C2B1B"/>
    <w:rsid w:val="009C2E80"/>
    <w:rsid w:val="009C46AD"/>
    <w:rsid w:val="009C4F09"/>
    <w:rsid w:val="009C5084"/>
    <w:rsid w:val="009C66CC"/>
    <w:rsid w:val="009C7003"/>
    <w:rsid w:val="009C7130"/>
    <w:rsid w:val="009C7F74"/>
    <w:rsid w:val="009D027B"/>
    <w:rsid w:val="009D355B"/>
    <w:rsid w:val="009D44C7"/>
    <w:rsid w:val="009D452C"/>
    <w:rsid w:val="009D4DD9"/>
    <w:rsid w:val="009D50FC"/>
    <w:rsid w:val="009D5CA6"/>
    <w:rsid w:val="009D66E4"/>
    <w:rsid w:val="009D67F8"/>
    <w:rsid w:val="009D6F3F"/>
    <w:rsid w:val="009D7056"/>
    <w:rsid w:val="009E062B"/>
    <w:rsid w:val="009E1CD0"/>
    <w:rsid w:val="009E2F56"/>
    <w:rsid w:val="009E3766"/>
    <w:rsid w:val="009E39B1"/>
    <w:rsid w:val="009E4459"/>
    <w:rsid w:val="009E4528"/>
    <w:rsid w:val="009E4821"/>
    <w:rsid w:val="009E4A00"/>
    <w:rsid w:val="009F0F14"/>
    <w:rsid w:val="009F1329"/>
    <w:rsid w:val="009F2064"/>
    <w:rsid w:val="009F3D4F"/>
    <w:rsid w:val="009F4125"/>
    <w:rsid w:val="009F6131"/>
    <w:rsid w:val="009F6599"/>
    <w:rsid w:val="009F6D03"/>
    <w:rsid w:val="009F6DC7"/>
    <w:rsid w:val="009F7C53"/>
    <w:rsid w:val="00A01747"/>
    <w:rsid w:val="00A01760"/>
    <w:rsid w:val="00A034BC"/>
    <w:rsid w:val="00A03934"/>
    <w:rsid w:val="00A0589A"/>
    <w:rsid w:val="00A05BA3"/>
    <w:rsid w:val="00A06927"/>
    <w:rsid w:val="00A13314"/>
    <w:rsid w:val="00A139F1"/>
    <w:rsid w:val="00A141AC"/>
    <w:rsid w:val="00A143F6"/>
    <w:rsid w:val="00A1463F"/>
    <w:rsid w:val="00A15071"/>
    <w:rsid w:val="00A1644F"/>
    <w:rsid w:val="00A16F51"/>
    <w:rsid w:val="00A20625"/>
    <w:rsid w:val="00A20CB4"/>
    <w:rsid w:val="00A20FC2"/>
    <w:rsid w:val="00A25CDC"/>
    <w:rsid w:val="00A306DD"/>
    <w:rsid w:val="00A308A1"/>
    <w:rsid w:val="00A30E0B"/>
    <w:rsid w:val="00A31395"/>
    <w:rsid w:val="00A34415"/>
    <w:rsid w:val="00A3473B"/>
    <w:rsid w:val="00A349BC"/>
    <w:rsid w:val="00A36C9B"/>
    <w:rsid w:val="00A37146"/>
    <w:rsid w:val="00A371A7"/>
    <w:rsid w:val="00A406D5"/>
    <w:rsid w:val="00A41422"/>
    <w:rsid w:val="00A420D0"/>
    <w:rsid w:val="00A4216E"/>
    <w:rsid w:val="00A43415"/>
    <w:rsid w:val="00A43ED6"/>
    <w:rsid w:val="00A5018D"/>
    <w:rsid w:val="00A528A3"/>
    <w:rsid w:val="00A52A43"/>
    <w:rsid w:val="00A54615"/>
    <w:rsid w:val="00A54A04"/>
    <w:rsid w:val="00A54FDF"/>
    <w:rsid w:val="00A5623C"/>
    <w:rsid w:val="00A577EF"/>
    <w:rsid w:val="00A606D1"/>
    <w:rsid w:val="00A60B97"/>
    <w:rsid w:val="00A612A9"/>
    <w:rsid w:val="00A61665"/>
    <w:rsid w:val="00A621CB"/>
    <w:rsid w:val="00A62C04"/>
    <w:rsid w:val="00A62E44"/>
    <w:rsid w:val="00A64C9B"/>
    <w:rsid w:val="00A67F0F"/>
    <w:rsid w:val="00A67F4F"/>
    <w:rsid w:val="00A67FE2"/>
    <w:rsid w:val="00A70062"/>
    <w:rsid w:val="00A7056F"/>
    <w:rsid w:val="00A708D1"/>
    <w:rsid w:val="00A71921"/>
    <w:rsid w:val="00A71EDF"/>
    <w:rsid w:val="00A72B98"/>
    <w:rsid w:val="00A72C8D"/>
    <w:rsid w:val="00A74004"/>
    <w:rsid w:val="00A76B83"/>
    <w:rsid w:val="00A76F92"/>
    <w:rsid w:val="00A77539"/>
    <w:rsid w:val="00A809A5"/>
    <w:rsid w:val="00A8191C"/>
    <w:rsid w:val="00A837FC"/>
    <w:rsid w:val="00A84E0E"/>
    <w:rsid w:val="00A86A48"/>
    <w:rsid w:val="00A86DC6"/>
    <w:rsid w:val="00A87FFC"/>
    <w:rsid w:val="00A9009F"/>
    <w:rsid w:val="00A90E02"/>
    <w:rsid w:val="00A9138D"/>
    <w:rsid w:val="00A9190B"/>
    <w:rsid w:val="00A92279"/>
    <w:rsid w:val="00A92292"/>
    <w:rsid w:val="00A928B0"/>
    <w:rsid w:val="00A93513"/>
    <w:rsid w:val="00A949A3"/>
    <w:rsid w:val="00A94DA3"/>
    <w:rsid w:val="00A94F1E"/>
    <w:rsid w:val="00A95437"/>
    <w:rsid w:val="00A963E4"/>
    <w:rsid w:val="00A96664"/>
    <w:rsid w:val="00A97F8C"/>
    <w:rsid w:val="00AA1CAF"/>
    <w:rsid w:val="00AA4186"/>
    <w:rsid w:val="00AA5D92"/>
    <w:rsid w:val="00AA607D"/>
    <w:rsid w:val="00AA658D"/>
    <w:rsid w:val="00AA7507"/>
    <w:rsid w:val="00AA76B7"/>
    <w:rsid w:val="00AA7B90"/>
    <w:rsid w:val="00AB0AD4"/>
    <w:rsid w:val="00AB2072"/>
    <w:rsid w:val="00AB3FBA"/>
    <w:rsid w:val="00AB46C5"/>
    <w:rsid w:val="00AB5147"/>
    <w:rsid w:val="00AB6B0C"/>
    <w:rsid w:val="00AB7B27"/>
    <w:rsid w:val="00AC00CC"/>
    <w:rsid w:val="00AC0F93"/>
    <w:rsid w:val="00AC1651"/>
    <w:rsid w:val="00AC2461"/>
    <w:rsid w:val="00AC25DC"/>
    <w:rsid w:val="00AC2DAE"/>
    <w:rsid w:val="00AC4437"/>
    <w:rsid w:val="00AC51AA"/>
    <w:rsid w:val="00AC53F9"/>
    <w:rsid w:val="00AC55CE"/>
    <w:rsid w:val="00AC6438"/>
    <w:rsid w:val="00AC76A0"/>
    <w:rsid w:val="00AC7701"/>
    <w:rsid w:val="00AD1D9E"/>
    <w:rsid w:val="00AD7352"/>
    <w:rsid w:val="00AD76BB"/>
    <w:rsid w:val="00AE0232"/>
    <w:rsid w:val="00AE0949"/>
    <w:rsid w:val="00AE0D7B"/>
    <w:rsid w:val="00AE203C"/>
    <w:rsid w:val="00AE2903"/>
    <w:rsid w:val="00AE36C3"/>
    <w:rsid w:val="00AE3C88"/>
    <w:rsid w:val="00AE447D"/>
    <w:rsid w:val="00AE68DC"/>
    <w:rsid w:val="00AE6A07"/>
    <w:rsid w:val="00AE7F05"/>
    <w:rsid w:val="00AF04E6"/>
    <w:rsid w:val="00AF054D"/>
    <w:rsid w:val="00AF1EF2"/>
    <w:rsid w:val="00AF2343"/>
    <w:rsid w:val="00AF35A4"/>
    <w:rsid w:val="00AF447A"/>
    <w:rsid w:val="00AF5220"/>
    <w:rsid w:val="00AF5BED"/>
    <w:rsid w:val="00AF6E57"/>
    <w:rsid w:val="00AF7331"/>
    <w:rsid w:val="00B01197"/>
    <w:rsid w:val="00B01642"/>
    <w:rsid w:val="00B023EE"/>
    <w:rsid w:val="00B02784"/>
    <w:rsid w:val="00B02B97"/>
    <w:rsid w:val="00B05FCF"/>
    <w:rsid w:val="00B06A7A"/>
    <w:rsid w:val="00B074E2"/>
    <w:rsid w:val="00B10FBA"/>
    <w:rsid w:val="00B119A3"/>
    <w:rsid w:val="00B12591"/>
    <w:rsid w:val="00B14D19"/>
    <w:rsid w:val="00B15850"/>
    <w:rsid w:val="00B1663F"/>
    <w:rsid w:val="00B20032"/>
    <w:rsid w:val="00B209D3"/>
    <w:rsid w:val="00B21B88"/>
    <w:rsid w:val="00B21C33"/>
    <w:rsid w:val="00B23CAF"/>
    <w:rsid w:val="00B24737"/>
    <w:rsid w:val="00B24748"/>
    <w:rsid w:val="00B24B06"/>
    <w:rsid w:val="00B25E4D"/>
    <w:rsid w:val="00B25F41"/>
    <w:rsid w:val="00B26D3A"/>
    <w:rsid w:val="00B26F31"/>
    <w:rsid w:val="00B31247"/>
    <w:rsid w:val="00B3131A"/>
    <w:rsid w:val="00B31C0D"/>
    <w:rsid w:val="00B31DC3"/>
    <w:rsid w:val="00B33992"/>
    <w:rsid w:val="00B341E3"/>
    <w:rsid w:val="00B359C5"/>
    <w:rsid w:val="00B35A6F"/>
    <w:rsid w:val="00B413D0"/>
    <w:rsid w:val="00B4177B"/>
    <w:rsid w:val="00B41BFC"/>
    <w:rsid w:val="00B41D23"/>
    <w:rsid w:val="00B42C12"/>
    <w:rsid w:val="00B44512"/>
    <w:rsid w:val="00B4462F"/>
    <w:rsid w:val="00B45443"/>
    <w:rsid w:val="00B45575"/>
    <w:rsid w:val="00B50A7F"/>
    <w:rsid w:val="00B50F66"/>
    <w:rsid w:val="00B52039"/>
    <w:rsid w:val="00B536CD"/>
    <w:rsid w:val="00B53AE2"/>
    <w:rsid w:val="00B53DE3"/>
    <w:rsid w:val="00B54454"/>
    <w:rsid w:val="00B545AF"/>
    <w:rsid w:val="00B548D8"/>
    <w:rsid w:val="00B56D00"/>
    <w:rsid w:val="00B571A3"/>
    <w:rsid w:val="00B57699"/>
    <w:rsid w:val="00B60DCC"/>
    <w:rsid w:val="00B61B4C"/>
    <w:rsid w:val="00B61E7C"/>
    <w:rsid w:val="00B62586"/>
    <w:rsid w:val="00B628D6"/>
    <w:rsid w:val="00B6381A"/>
    <w:rsid w:val="00B63B53"/>
    <w:rsid w:val="00B64452"/>
    <w:rsid w:val="00B65B73"/>
    <w:rsid w:val="00B65E06"/>
    <w:rsid w:val="00B662BE"/>
    <w:rsid w:val="00B675D2"/>
    <w:rsid w:val="00B67B3C"/>
    <w:rsid w:val="00B67F69"/>
    <w:rsid w:val="00B70A8F"/>
    <w:rsid w:val="00B72FC3"/>
    <w:rsid w:val="00B74628"/>
    <w:rsid w:val="00B74BE4"/>
    <w:rsid w:val="00B7674C"/>
    <w:rsid w:val="00B76C33"/>
    <w:rsid w:val="00B77364"/>
    <w:rsid w:val="00B77880"/>
    <w:rsid w:val="00B77D0B"/>
    <w:rsid w:val="00B81C01"/>
    <w:rsid w:val="00B824CB"/>
    <w:rsid w:val="00B8401A"/>
    <w:rsid w:val="00B8636A"/>
    <w:rsid w:val="00B87111"/>
    <w:rsid w:val="00B90BBE"/>
    <w:rsid w:val="00B9107F"/>
    <w:rsid w:val="00B91E8D"/>
    <w:rsid w:val="00B94471"/>
    <w:rsid w:val="00B94B5A"/>
    <w:rsid w:val="00B96FFE"/>
    <w:rsid w:val="00BA1B70"/>
    <w:rsid w:val="00BA232E"/>
    <w:rsid w:val="00BA27AF"/>
    <w:rsid w:val="00BA2D8E"/>
    <w:rsid w:val="00BA3611"/>
    <w:rsid w:val="00BA475C"/>
    <w:rsid w:val="00BA4BB8"/>
    <w:rsid w:val="00BB090C"/>
    <w:rsid w:val="00BB2159"/>
    <w:rsid w:val="00BB2369"/>
    <w:rsid w:val="00BB34DB"/>
    <w:rsid w:val="00BB4839"/>
    <w:rsid w:val="00BB54F4"/>
    <w:rsid w:val="00BB6826"/>
    <w:rsid w:val="00BB6967"/>
    <w:rsid w:val="00BC0AF8"/>
    <w:rsid w:val="00BC12FA"/>
    <w:rsid w:val="00BC17F0"/>
    <w:rsid w:val="00BC3318"/>
    <w:rsid w:val="00BC58CE"/>
    <w:rsid w:val="00BD1A22"/>
    <w:rsid w:val="00BD3B92"/>
    <w:rsid w:val="00BD436A"/>
    <w:rsid w:val="00BD6562"/>
    <w:rsid w:val="00BD6CE4"/>
    <w:rsid w:val="00BD6E9C"/>
    <w:rsid w:val="00BD6FA5"/>
    <w:rsid w:val="00BD7594"/>
    <w:rsid w:val="00BD7F3D"/>
    <w:rsid w:val="00BE17B4"/>
    <w:rsid w:val="00BE18E0"/>
    <w:rsid w:val="00BE1A65"/>
    <w:rsid w:val="00BE2BB2"/>
    <w:rsid w:val="00BE3759"/>
    <w:rsid w:val="00BE4B27"/>
    <w:rsid w:val="00BE6AAA"/>
    <w:rsid w:val="00BE7606"/>
    <w:rsid w:val="00BF248B"/>
    <w:rsid w:val="00BF3574"/>
    <w:rsid w:val="00BF3F2A"/>
    <w:rsid w:val="00BF59EF"/>
    <w:rsid w:val="00BF6A41"/>
    <w:rsid w:val="00BF6C06"/>
    <w:rsid w:val="00BF7987"/>
    <w:rsid w:val="00BF7C54"/>
    <w:rsid w:val="00C023B7"/>
    <w:rsid w:val="00C0273F"/>
    <w:rsid w:val="00C0324D"/>
    <w:rsid w:val="00C0336E"/>
    <w:rsid w:val="00C040A5"/>
    <w:rsid w:val="00C0503A"/>
    <w:rsid w:val="00C06799"/>
    <w:rsid w:val="00C077AB"/>
    <w:rsid w:val="00C10170"/>
    <w:rsid w:val="00C10F71"/>
    <w:rsid w:val="00C11D0F"/>
    <w:rsid w:val="00C12BA8"/>
    <w:rsid w:val="00C1328A"/>
    <w:rsid w:val="00C167AA"/>
    <w:rsid w:val="00C17EB1"/>
    <w:rsid w:val="00C2033D"/>
    <w:rsid w:val="00C203EB"/>
    <w:rsid w:val="00C20BFD"/>
    <w:rsid w:val="00C217DC"/>
    <w:rsid w:val="00C21F2F"/>
    <w:rsid w:val="00C23A3B"/>
    <w:rsid w:val="00C2418A"/>
    <w:rsid w:val="00C2483B"/>
    <w:rsid w:val="00C25F72"/>
    <w:rsid w:val="00C260B5"/>
    <w:rsid w:val="00C300B1"/>
    <w:rsid w:val="00C302E0"/>
    <w:rsid w:val="00C30815"/>
    <w:rsid w:val="00C30E07"/>
    <w:rsid w:val="00C34CC9"/>
    <w:rsid w:val="00C34F18"/>
    <w:rsid w:val="00C3520C"/>
    <w:rsid w:val="00C35C8F"/>
    <w:rsid w:val="00C35DA8"/>
    <w:rsid w:val="00C35E57"/>
    <w:rsid w:val="00C369C6"/>
    <w:rsid w:val="00C36BE1"/>
    <w:rsid w:val="00C36C9F"/>
    <w:rsid w:val="00C37F04"/>
    <w:rsid w:val="00C4025C"/>
    <w:rsid w:val="00C422C3"/>
    <w:rsid w:val="00C4297B"/>
    <w:rsid w:val="00C44557"/>
    <w:rsid w:val="00C45B9A"/>
    <w:rsid w:val="00C46F0E"/>
    <w:rsid w:val="00C50106"/>
    <w:rsid w:val="00C50972"/>
    <w:rsid w:val="00C5247F"/>
    <w:rsid w:val="00C5362C"/>
    <w:rsid w:val="00C54243"/>
    <w:rsid w:val="00C54C49"/>
    <w:rsid w:val="00C55787"/>
    <w:rsid w:val="00C5628B"/>
    <w:rsid w:val="00C616A6"/>
    <w:rsid w:val="00C61A12"/>
    <w:rsid w:val="00C62856"/>
    <w:rsid w:val="00C62B94"/>
    <w:rsid w:val="00C633AB"/>
    <w:rsid w:val="00C65494"/>
    <w:rsid w:val="00C6553C"/>
    <w:rsid w:val="00C656D3"/>
    <w:rsid w:val="00C6583B"/>
    <w:rsid w:val="00C6611E"/>
    <w:rsid w:val="00C66656"/>
    <w:rsid w:val="00C67A1D"/>
    <w:rsid w:val="00C72C18"/>
    <w:rsid w:val="00C74591"/>
    <w:rsid w:val="00C75066"/>
    <w:rsid w:val="00C773E3"/>
    <w:rsid w:val="00C809F5"/>
    <w:rsid w:val="00C81132"/>
    <w:rsid w:val="00C82696"/>
    <w:rsid w:val="00C82B21"/>
    <w:rsid w:val="00C83D1B"/>
    <w:rsid w:val="00C84A34"/>
    <w:rsid w:val="00C8539C"/>
    <w:rsid w:val="00C8645B"/>
    <w:rsid w:val="00C86E53"/>
    <w:rsid w:val="00C875DC"/>
    <w:rsid w:val="00C87A57"/>
    <w:rsid w:val="00C87C08"/>
    <w:rsid w:val="00C90785"/>
    <w:rsid w:val="00C90EFE"/>
    <w:rsid w:val="00C92179"/>
    <w:rsid w:val="00C9221A"/>
    <w:rsid w:val="00C9264B"/>
    <w:rsid w:val="00C932B3"/>
    <w:rsid w:val="00C9391A"/>
    <w:rsid w:val="00C93C10"/>
    <w:rsid w:val="00C95401"/>
    <w:rsid w:val="00C97486"/>
    <w:rsid w:val="00CA0A49"/>
    <w:rsid w:val="00CA1156"/>
    <w:rsid w:val="00CA14B5"/>
    <w:rsid w:val="00CA2350"/>
    <w:rsid w:val="00CA3C16"/>
    <w:rsid w:val="00CA49E2"/>
    <w:rsid w:val="00CA6025"/>
    <w:rsid w:val="00CB2AC3"/>
    <w:rsid w:val="00CB2F45"/>
    <w:rsid w:val="00CB4CA8"/>
    <w:rsid w:val="00CB529A"/>
    <w:rsid w:val="00CB720A"/>
    <w:rsid w:val="00CC022B"/>
    <w:rsid w:val="00CC053C"/>
    <w:rsid w:val="00CC09CF"/>
    <w:rsid w:val="00CC1080"/>
    <w:rsid w:val="00CC1A19"/>
    <w:rsid w:val="00CC22F7"/>
    <w:rsid w:val="00CC2AF0"/>
    <w:rsid w:val="00CC2CD7"/>
    <w:rsid w:val="00CC3419"/>
    <w:rsid w:val="00CC3C8E"/>
    <w:rsid w:val="00CC5C17"/>
    <w:rsid w:val="00CC62E9"/>
    <w:rsid w:val="00CC7EF1"/>
    <w:rsid w:val="00CD0B24"/>
    <w:rsid w:val="00CD0B34"/>
    <w:rsid w:val="00CD15DA"/>
    <w:rsid w:val="00CD29A2"/>
    <w:rsid w:val="00CD3DC4"/>
    <w:rsid w:val="00CD4829"/>
    <w:rsid w:val="00CD5282"/>
    <w:rsid w:val="00CD5F97"/>
    <w:rsid w:val="00CD70AF"/>
    <w:rsid w:val="00CE1318"/>
    <w:rsid w:val="00CE1BE0"/>
    <w:rsid w:val="00CE1DD1"/>
    <w:rsid w:val="00CE28D3"/>
    <w:rsid w:val="00CE2BD1"/>
    <w:rsid w:val="00CE3101"/>
    <w:rsid w:val="00CE32AA"/>
    <w:rsid w:val="00CE3708"/>
    <w:rsid w:val="00CE3DD0"/>
    <w:rsid w:val="00CE618A"/>
    <w:rsid w:val="00CE6CA6"/>
    <w:rsid w:val="00CE7CEA"/>
    <w:rsid w:val="00CF2DE6"/>
    <w:rsid w:val="00CF31B8"/>
    <w:rsid w:val="00CF3274"/>
    <w:rsid w:val="00CF46DF"/>
    <w:rsid w:val="00CF5DC5"/>
    <w:rsid w:val="00D012C2"/>
    <w:rsid w:val="00D02378"/>
    <w:rsid w:val="00D0302D"/>
    <w:rsid w:val="00D031FC"/>
    <w:rsid w:val="00D0341B"/>
    <w:rsid w:val="00D03633"/>
    <w:rsid w:val="00D038DD"/>
    <w:rsid w:val="00D04359"/>
    <w:rsid w:val="00D04B35"/>
    <w:rsid w:val="00D050C3"/>
    <w:rsid w:val="00D05134"/>
    <w:rsid w:val="00D066F4"/>
    <w:rsid w:val="00D06AF9"/>
    <w:rsid w:val="00D0722E"/>
    <w:rsid w:val="00D0772B"/>
    <w:rsid w:val="00D07FB9"/>
    <w:rsid w:val="00D10D4D"/>
    <w:rsid w:val="00D121FA"/>
    <w:rsid w:val="00D13CF4"/>
    <w:rsid w:val="00D14E75"/>
    <w:rsid w:val="00D15112"/>
    <w:rsid w:val="00D1540F"/>
    <w:rsid w:val="00D157FC"/>
    <w:rsid w:val="00D15B35"/>
    <w:rsid w:val="00D15E88"/>
    <w:rsid w:val="00D16808"/>
    <w:rsid w:val="00D202AE"/>
    <w:rsid w:val="00D2098A"/>
    <w:rsid w:val="00D20C16"/>
    <w:rsid w:val="00D23021"/>
    <w:rsid w:val="00D23066"/>
    <w:rsid w:val="00D2368F"/>
    <w:rsid w:val="00D23870"/>
    <w:rsid w:val="00D25441"/>
    <w:rsid w:val="00D26240"/>
    <w:rsid w:val="00D26472"/>
    <w:rsid w:val="00D26A16"/>
    <w:rsid w:val="00D30270"/>
    <w:rsid w:val="00D31571"/>
    <w:rsid w:val="00D320C8"/>
    <w:rsid w:val="00D32640"/>
    <w:rsid w:val="00D326F3"/>
    <w:rsid w:val="00D32EA7"/>
    <w:rsid w:val="00D32F5A"/>
    <w:rsid w:val="00D35096"/>
    <w:rsid w:val="00D35A40"/>
    <w:rsid w:val="00D3602B"/>
    <w:rsid w:val="00D37609"/>
    <w:rsid w:val="00D37AF4"/>
    <w:rsid w:val="00D4015C"/>
    <w:rsid w:val="00D404BC"/>
    <w:rsid w:val="00D4065D"/>
    <w:rsid w:val="00D417C6"/>
    <w:rsid w:val="00D4192B"/>
    <w:rsid w:val="00D4247A"/>
    <w:rsid w:val="00D4348C"/>
    <w:rsid w:val="00D43B5D"/>
    <w:rsid w:val="00D4472D"/>
    <w:rsid w:val="00D44786"/>
    <w:rsid w:val="00D45026"/>
    <w:rsid w:val="00D4527B"/>
    <w:rsid w:val="00D466E8"/>
    <w:rsid w:val="00D46FC9"/>
    <w:rsid w:val="00D47992"/>
    <w:rsid w:val="00D518C8"/>
    <w:rsid w:val="00D51CAD"/>
    <w:rsid w:val="00D52204"/>
    <w:rsid w:val="00D524C2"/>
    <w:rsid w:val="00D52967"/>
    <w:rsid w:val="00D535C4"/>
    <w:rsid w:val="00D5373F"/>
    <w:rsid w:val="00D5432B"/>
    <w:rsid w:val="00D55638"/>
    <w:rsid w:val="00D60D1A"/>
    <w:rsid w:val="00D62E19"/>
    <w:rsid w:val="00D634DE"/>
    <w:rsid w:val="00D636BE"/>
    <w:rsid w:val="00D641B1"/>
    <w:rsid w:val="00D661F9"/>
    <w:rsid w:val="00D668D1"/>
    <w:rsid w:val="00D6732D"/>
    <w:rsid w:val="00D678C1"/>
    <w:rsid w:val="00D70A76"/>
    <w:rsid w:val="00D70C8C"/>
    <w:rsid w:val="00D71962"/>
    <w:rsid w:val="00D73367"/>
    <w:rsid w:val="00D74180"/>
    <w:rsid w:val="00D765EE"/>
    <w:rsid w:val="00D76888"/>
    <w:rsid w:val="00D76C92"/>
    <w:rsid w:val="00D85186"/>
    <w:rsid w:val="00D85D75"/>
    <w:rsid w:val="00D8704E"/>
    <w:rsid w:val="00D87441"/>
    <w:rsid w:val="00D87ADA"/>
    <w:rsid w:val="00D900DB"/>
    <w:rsid w:val="00D91D72"/>
    <w:rsid w:val="00D92428"/>
    <w:rsid w:val="00D927F1"/>
    <w:rsid w:val="00D92BFD"/>
    <w:rsid w:val="00D93D84"/>
    <w:rsid w:val="00D940AF"/>
    <w:rsid w:val="00D945A8"/>
    <w:rsid w:val="00D95602"/>
    <w:rsid w:val="00D9794B"/>
    <w:rsid w:val="00DA0A2A"/>
    <w:rsid w:val="00DA0A7C"/>
    <w:rsid w:val="00DA1959"/>
    <w:rsid w:val="00DA46F0"/>
    <w:rsid w:val="00DA48CC"/>
    <w:rsid w:val="00DA533F"/>
    <w:rsid w:val="00DA5722"/>
    <w:rsid w:val="00DA7044"/>
    <w:rsid w:val="00DA7113"/>
    <w:rsid w:val="00DA7243"/>
    <w:rsid w:val="00DA7834"/>
    <w:rsid w:val="00DA7B02"/>
    <w:rsid w:val="00DB060B"/>
    <w:rsid w:val="00DB0791"/>
    <w:rsid w:val="00DB13B4"/>
    <w:rsid w:val="00DB18CC"/>
    <w:rsid w:val="00DB24D6"/>
    <w:rsid w:val="00DB257D"/>
    <w:rsid w:val="00DB2C3A"/>
    <w:rsid w:val="00DB3372"/>
    <w:rsid w:val="00DB5E46"/>
    <w:rsid w:val="00DB64D5"/>
    <w:rsid w:val="00DB70A1"/>
    <w:rsid w:val="00DB70B5"/>
    <w:rsid w:val="00DB7D92"/>
    <w:rsid w:val="00DC0837"/>
    <w:rsid w:val="00DC1DB8"/>
    <w:rsid w:val="00DC1EC9"/>
    <w:rsid w:val="00DC31DC"/>
    <w:rsid w:val="00DC3392"/>
    <w:rsid w:val="00DC3991"/>
    <w:rsid w:val="00DC406C"/>
    <w:rsid w:val="00DC4B51"/>
    <w:rsid w:val="00DC4CB2"/>
    <w:rsid w:val="00DC543F"/>
    <w:rsid w:val="00DC55BD"/>
    <w:rsid w:val="00DC5623"/>
    <w:rsid w:val="00DC5F48"/>
    <w:rsid w:val="00DC6956"/>
    <w:rsid w:val="00DC6ACD"/>
    <w:rsid w:val="00DD0B5F"/>
    <w:rsid w:val="00DD0D9A"/>
    <w:rsid w:val="00DD0F4B"/>
    <w:rsid w:val="00DD12C3"/>
    <w:rsid w:val="00DD21E0"/>
    <w:rsid w:val="00DD2E0A"/>
    <w:rsid w:val="00DD46E6"/>
    <w:rsid w:val="00DD51FC"/>
    <w:rsid w:val="00DD646B"/>
    <w:rsid w:val="00DD69B6"/>
    <w:rsid w:val="00DD76FE"/>
    <w:rsid w:val="00DE089F"/>
    <w:rsid w:val="00DE1A7D"/>
    <w:rsid w:val="00DE2025"/>
    <w:rsid w:val="00DE22F2"/>
    <w:rsid w:val="00DE40C9"/>
    <w:rsid w:val="00DE4DDD"/>
    <w:rsid w:val="00DE5683"/>
    <w:rsid w:val="00DE6230"/>
    <w:rsid w:val="00DF0443"/>
    <w:rsid w:val="00DF16FC"/>
    <w:rsid w:val="00DF18AF"/>
    <w:rsid w:val="00DF2D14"/>
    <w:rsid w:val="00DF43E2"/>
    <w:rsid w:val="00DF46B8"/>
    <w:rsid w:val="00DF5486"/>
    <w:rsid w:val="00DF5706"/>
    <w:rsid w:val="00DF69E5"/>
    <w:rsid w:val="00DF6D06"/>
    <w:rsid w:val="00DF7579"/>
    <w:rsid w:val="00DF7BD1"/>
    <w:rsid w:val="00E01272"/>
    <w:rsid w:val="00E044D9"/>
    <w:rsid w:val="00E04BD1"/>
    <w:rsid w:val="00E05880"/>
    <w:rsid w:val="00E05FC8"/>
    <w:rsid w:val="00E06D15"/>
    <w:rsid w:val="00E06F49"/>
    <w:rsid w:val="00E07E5C"/>
    <w:rsid w:val="00E07F12"/>
    <w:rsid w:val="00E10073"/>
    <w:rsid w:val="00E120DB"/>
    <w:rsid w:val="00E1220C"/>
    <w:rsid w:val="00E136C5"/>
    <w:rsid w:val="00E147B4"/>
    <w:rsid w:val="00E15038"/>
    <w:rsid w:val="00E15160"/>
    <w:rsid w:val="00E15547"/>
    <w:rsid w:val="00E1592B"/>
    <w:rsid w:val="00E17092"/>
    <w:rsid w:val="00E20339"/>
    <w:rsid w:val="00E21068"/>
    <w:rsid w:val="00E2218F"/>
    <w:rsid w:val="00E2280D"/>
    <w:rsid w:val="00E24F88"/>
    <w:rsid w:val="00E25C74"/>
    <w:rsid w:val="00E26728"/>
    <w:rsid w:val="00E27372"/>
    <w:rsid w:val="00E274C5"/>
    <w:rsid w:val="00E30039"/>
    <w:rsid w:val="00E34138"/>
    <w:rsid w:val="00E34BCF"/>
    <w:rsid w:val="00E35E47"/>
    <w:rsid w:val="00E367EA"/>
    <w:rsid w:val="00E3754C"/>
    <w:rsid w:val="00E40B60"/>
    <w:rsid w:val="00E40D36"/>
    <w:rsid w:val="00E41CD6"/>
    <w:rsid w:val="00E427F4"/>
    <w:rsid w:val="00E4305D"/>
    <w:rsid w:val="00E4345E"/>
    <w:rsid w:val="00E442C2"/>
    <w:rsid w:val="00E44F61"/>
    <w:rsid w:val="00E47121"/>
    <w:rsid w:val="00E479F9"/>
    <w:rsid w:val="00E50BEB"/>
    <w:rsid w:val="00E51034"/>
    <w:rsid w:val="00E53355"/>
    <w:rsid w:val="00E53699"/>
    <w:rsid w:val="00E538FC"/>
    <w:rsid w:val="00E5464A"/>
    <w:rsid w:val="00E55C29"/>
    <w:rsid w:val="00E600B1"/>
    <w:rsid w:val="00E60188"/>
    <w:rsid w:val="00E62B39"/>
    <w:rsid w:val="00E63BF9"/>
    <w:rsid w:val="00E6479D"/>
    <w:rsid w:val="00E71313"/>
    <w:rsid w:val="00E715BC"/>
    <w:rsid w:val="00E71C6C"/>
    <w:rsid w:val="00E732CC"/>
    <w:rsid w:val="00E755D3"/>
    <w:rsid w:val="00E76D93"/>
    <w:rsid w:val="00E77B62"/>
    <w:rsid w:val="00E80612"/>
    <w:rsid w:val="00E8105C"/>
    <w:rsid w:val="00E81534"/>
    <w:rsid w:val="00E81842"/>
    <w:rsid w:val="00E824C8"/>
    <w:rsid w:val="00E84F33"/>
    <w:rsid w:val="00E905BB"/>
    <w:rsid w:val="00E90A84"/>
    <w:rsid w:val="00E9126B"/>
    <w:rsid w:val="00E91DF0"/>
    <w:rsid w:val="00E9215D"/>
    <w:rsid w:val="00E94E6A"/>
    <w:rsid w:val="00E953E2"/>
    <w:rsid w:val="00E957AA"/>
    <w:rsid w:val="00E966B1"/>
    <w:rsid w:val="00E96CD2"/>
    <w:rsid w:val="00EA059D"/>
    <w:rsid w:val="00EA0660"/>
    <w:rsid w:val="00EA1080"/>
    <w:rsid w:val="00EA1AF6"/>
    <w:rsid w:val="00EA24AA"/>
    <w:rsid w:val="00EA2737"/>
    <w:rsid w:val="00EA281E"/>
    <w:rsid w:val="00EA2866"/>
    <w:rsid w:val="00EA2C45"/>
    <w:rsid w:val="00EA2FDB"/>
    <w:rsid w:val="00EA4731"/>
    <w:rsid w:val="00EB01E1"/>
    <w:rsid w:val="00EB0200"/>
    <w:rsid w:val="00EB3CBB"/>
    <w:rsid w:val="00EB3FFA"/>
    <w:rsid w:val="00EB505F"/>
    <w:rsid w:val="00EB5656"/>
    <w:rsid w:val="00EB5F6F"/>
    <w:rsid w:val="00EB6912"/>
    <w:rsid w:val="00EB7D10"/>
    <w:rsid w:val="00EB7EEE"/>
    <w:rsid w:val="00EC09B7"/>
    <w:rsid w:val="00EC0B08"/>
    <w:rsid w:val="00EC2169"/>
    <w:rsid w:val="00EC2B69"/>
    <w:rsid w:val="00EC3D34"/>
    <w:rsid w:val="00EC4AE5"/>
    <w:rsid w:val="00EC5E84"/>
    <w:rsid w:val="00EC657D"/>
    <w:rsid w:val="00EC6AD5"/>
    <w:rsid w:val="00EC725C"/>
    <w:rsid w:val="00EC7754"/>
    <w:rsid w:val="00ED41B0"/>
    <w:rsid w:val="00ED5EBD"/>
    <w:rsid w:val="00ED6409"/>
    <w:rsid w:val="00ED7029"/>
    <w:rsid w:val="00EE26CF"/>
    <w:rsid w:val="00EE2CD9"/>
    <w:rsid w:val="00EE30F5"/>
    <w:rsid w:val="00EE547C"/>
    <w:rsid w:val="00EE575D"/>
    <w:rsid w:val="00EE64CD"/>
    <w:rsid w:val="00EF00DB"/>
    <w:rsid w:val="00EF1683"/>
    <w:rsid w:val="00EF1D20"/>
    <w:rsid w:val="00EF2406"/>
    <w:rsid w:val="00EF2934"/>
    <w:rsid w:val="00EF3A88"/>
    <w:rsid w:val="00EF3B30"/>
    <w:rsid w:val="00EF407C"/>
    <w:rsid w:val="00EF4AFF"/>
    <w:rsid w:val="00EF4CF4"/>
    <w:rsid w:val="00EF5023"/>
    <w:rsid w:val="00EF54DF"/>
    <w:rsid w:val="00EF5DFA"/>
    <w:rsid w:val="00EF68E3"/>
    <w:rsid w:val="00EF7262"/>
    <w:rsid w:val="00F0197C"/>
    <w:rsid w:val="00F024E9"/>
    <w:rsid w:val="00F04155"/>
    <w:rsid w:val="00F04259"/>
    <w:rsid w:val="00F0498A"/>
    <w:rsid w:val="00F04A69"/>
    <w:rsid w:val="00F04AC2"/>
    <w:rsid w:val="00F05042"/>
    <w:rsid w:val="00F07138"/>
    <w:rsid w:val="00F0779A"/>
    <w:rsid w:val="00F07D9C"/>
    <w:rsid w:val="00F101DD"/>
    <w:rsid w:val="00F10890"/>
    <w:rsid w:val="00F11C66"/>
    <w:rsid w:val="00F11F63"/>
    <w:rsid w:val="00F128CD"/>
    <w:rsid w:val="00F13562"/>
    <w:rsid w:val="00F155A8"/>
    <w:rsid w:val="00F15A06"/>
    <w:rsid w:val="00F15E98"/>
    <w:rsid w:val="00F16E2C"/>
    <w:rsid w:val="00F20263"/>
    <w:rsid w:val="00F222E2"/>
    <w:rsid w:val="00F22D9D"/>
    <w:rsid w:val="00F22DD8"/>
    <w:rsid w:val="00F236FC"/>
    <w:rsid w:val="00F2481C"/>
    <w:rsid w:val="00F24BAA"/>
    <w:rsid w:val="00F24DCB"/>
    <w:rsid w:val="00F2665D"/>
    <w:rsid w:val="00F315C5"/>
    <w:rsid w:val="00F315FF"/>
    <w:rsid w:val="00F3167C"/>
    <w:rsid w:val="00F31ADC"/>
    <w:rsid w:val="00F31C75"/>
    <w:rsid w:val="00F31E72"/>
    <w:rsid w:val="00F33A80"/>
    <w:rsid w:val="00F354D4"/>
    <w:rsid w:val="00F37196"/>
    <w:rsid w:val="00F40E90"/>
    <w:rsid w:val="00F42580"/>
    <w:rsid w:val="00F431F8"/>
    <w:rsid w:val="00F4368F"/>
    <w:rsid w:val="00F43825"/>
    <w:rsid w:val="00F46974"/>
    <w:rsid w:val="00F46ED7"/>
    <w:rsid w:val="00F47375"/>
    <w:rsid w:val="00F51D8E"/>
    <w:rsid w:val="00F51FFA"/>
    <w:rsid w:val="00F5326F"/>
    <w:rsid w:val="00F5356F"/>
    <w:rsid w:val="00F53D12"/>
    <w:rsid w:val="00F54994"/>
    <w:rsid w:val="00F559AB"/>
    <w:rsid w:val="00F55CAA"/>
    <w:rsid w:val="00F56569"/>
    <w:rsid w:val="00F576A9"/>
    <w:rsid w:val="00F5793A"/>
    <w:rsid w:val="00F61968"/>
    <w:rsid w:val="00F63872"/>
    <w:rsid w:val="00F63C90"/>
    <w:rsid w:val="00F66E8A"/>
    <w:rsid w:val="00F678DA"/>
    <w:rsid w:val="00F710B8"/>
    <w:rsid w:val="00F71A17"/>
    <w:rsid w:val="00F71F55"/>
    <w:rsid w:val="00F72662"/>
    <w:rsid w:val="00F727EF"/>
    <w:rsid w:val="00F7385E"/>
    <w:rsid w:val="00F73B8C"/>
    <w:rsid w:val="00F746F6"/>
    <w:rsid w:val="00F74BD8"/>
    <w:rsid w:val="00F74FA6"/>
    <w:rsid w:val="00F75021"/>
    <w:rsid w:val="00F75384"/>
    <w:rsid w:val="00F76448"/>
    <w:rsid w:val="00F76807"/>
    <w:rsid w:val="00F76E70"/>
    <w:rsid w:val="00F771ED"/>
    <w:rsid w:val="00F80B06"/>
    <w:rsid w:val="00F80C79"/>
    <w:rsid w:val="00F81E80"/>
    <w:rsid w:val="00F8330C"/>
    <w:rsid w:val="00F835AC"/>
    <w:rsid w:val="00F83BBE"/>
    <w:rsid w:val="00F848A0"/>
    <w:rsid w:val="00F85427"/>
    <w:rsid w:val="00F865B9"/>
    <w:rsid w:val="00F87A28"/>
    <w:rsid w:val="00F90BA4"/>
    <w:rsid w:val="00F91108"/>
    <w:rsid w:val="00F91774"/>
    <w:rsid w:val="00F929C2"/>
    <w:rsid w:val="00F9424E"/>
    <w:rsid w:val="00F945BC"/>
    <w:rsid w:val="00F94E38"/>
    <w:rsid w:val="00F9629A"/>
    <w:rsid w:val="00F9635F"/>
    <w:rsid w:val="00F96918"/>
    <w:rsid w:val="00F96D06"/>
    <w:rsid w:val="00F96E59"/>
    <w:rsid w:val="00FA0650"/>
    <w:rsid w:val="00FA0C6C"/>
    <w:rsid w:val="00FA13C5"/>
    <w:rsid w:val="00FA224B"/>
    <w:rsid w:val="00FA2399"/>
    <w:rsid w:val="00FA4139"/>
    <w:rsid w:val="00FA4C8D"/>
    <w:rsid w:val="00FA673E"/>
    <w:rsid w:val="00FA709D"/>
    <w:rsid w:val="00FA7FD9"/>
    <w:rsid w:val="00FB0208"/>
    <w:rsid w:val="00FB0335"/>
    <w:rsid w:val="00FB227A"/>
    <w:rsid w:val="00FB3A6A"/>
    <w:rsid w:val="00FB3B4F"/>
    <w:rsid w:val="00FB59E8"/>
    <w:rsid w:val="00FB5D0D"/>
    <w:rsid w:val="00FB6230"/>
    <w:rsid w:val="00FB75D0"/>
    <w:rsid w:val="00FB778A"/>
    <w:rsid w:val="00FB77D1"/>
    <w:rsid w:val="00FC1CE1"/>
    <w:rsid w:val="00FC2050"/>
    <w:rsid w:val="00FC278C"/>
    <w:rsid w:val="00FC33EA"/>
    <w:rsid w:val="00FC3501"/>
    <w:rsid w:val="00FC3507"/>
    <w:rsid w:val="00FC36D8"/>
    <w:rsid w:val="00FC394A"/>
    <w:rsid w:val="00FC42D9"/>
    <w:rsid w:val="00FC5AA6"/>
    <w:rsid w:val="00FC66BF"/>
    <w:rsid w:val="00FD0488"/>
    <w:rsid w:val="00FD062A"/>
    <w:rsid w:val="00FD09F8"/>
    <w:rsid w:val="00FD1165"/>
    <w:rsid w:val="00FD1FFA"/>
    <w:rsid w:val="00FD341C"/>
    <w:rsid w:val="00FD5C9B"/>
    <w:rsid w:val="00FD6855"/>
    <w:rsid w:val="00FD74E6"/>
    <w:rsid w:val="00FE063A"/>
    <w:rsid w:val="00FE0992"/>
    <w:rsid w:val="00FE0A3E"/>
    <w:rsid w:val="00FE1340"/>
    <w:rsid w:val="00FE22B0"/>
    <w:rsid w:val="00FE4A25"/>
    <w:rsid w:val="00FE6328"/>
    <w:rsid w:val="00FE6D37"/>
    <w:rsid w:val="00FE6EB8"/>
    <w:rsid w:val="00FE7F3D"/>
    <w:rsid w:val="00FF2BB1"/>
    <w:rsid w:val="00FF4104"/>
    <w:rsid w:val="00FF45D7"/>
    <w:rsid w:val="00FF4732"/>
    <w:rsid w:val="00FF4956"/>
    <w:rsid w:val="00FF5BFA"/>
    <w:rsid w:val="00FF6F85"/>
    <w:rsid w:val="00FF75F4"/>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C1505"/>
  <w15:docId w15:val="{F49C354C-40F2-471F-AB7D-D81BBDB0E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8F9"/>
    <w:pPr>
      <w:spacing w:after="160" w:line="259" w:lineRule="auto"/>
    </w:pPr>
    <w:rPr>
      <w:lang w:val="en-GB"/>
    </w:rPr>
  </w:style>
  <w:style w:type="paragraph" w:styleId="Heading1">
    <w:name w:val="heading 1"/>
    <w:basedOn w:val="Heading2"/>
    <w:next w:val="Normal"/>
    <w:link w:val="Heading1Char"/>
    <w:uiPriority w:val="9"/>
    <w:qFormat/>
    <w:rsid w:val="009F6599"/>
    <w:pPr>
      <w:outlineLvl w:val="0"/>
    </w:pPr>
    <w:rPr>
      <w:sz w:val="32"/>
      <w:szCs w:val="32"/>
    </w:rPr>
  </w:style>
  <w:style w:type="paragraph" w:styleId="Heading2">
    <w:name w:val="heading 2"/>
    <w:basedOn w:val="ListParagraph"/>
    <w:next w:val="Normal"/>
    <w:link w:val="Heading2Char"/>
    <w:uiPriority w:val="9"/>
    <w:unhideWhenUsed/>
    <w:qFormat/>
    <w:rsid w:val="009F6599"/>
    <w:pPr>
      <w:tabs>
        <w:tab w:val="left" w:pos="284"/>
        <w:tab w:val="left" w:pos="426"/>
        <w:tab w:val="left" w:leader="dot" w:pos="8505"/>
      </w:tabs>
      <w:autoSpaceDE w:val="0"/>
      <w:autoSpaceDN w:val="0"/>
      <w:adjustRightInd w:val="0"/>
      <w:spacing w:after="120" w:line="276" w:lineRule="auto"/>
      <w:ind w:left="0"/>
      <w:jc w:val="both"/>
      <w:outlineLvl w:val="1"/>
    </w:pPr>
    <w:rPr>
      <w:rFonts w:ascii="Times New Roman" w:hAnsi="Times New Roman" w:cs="Times New Roman"/>
      <w:b/>
      <w:sz w:val="28"/>
      <w:szCs w:val="28"/>
      <w:lang w:val="ro-RO"/>
    </w:rPr>
  </w:style>
  <w:style w:type="paragraph" w:styleId="Heading3">
    <w:name w:val="heading 3"/>
    <w:basedOn w:val="Normal"/>
    <w:next w:val="Normal"/>
    <w:link w:val="Heading3Char"/>
    <w:unhideWhenUsed/>
    <w:qFormat/>
    <w:rsid w:val="007A4FAA"/>
    <w:pPr>
      <w:shd w:val="clear" w:color="auto" w:fill="FFFFFF"/>
      <w:spacing w:after="0" w:line="240" w:lineRule="auto"/>
      <w:jc w:val="both"/>
      <w:outlineLvl w:val="2"/>
    </w:pPr>
    <w:rPr>
      <w:rFonts w:ascii="Times New Roman" w:eastAsia="Times New Roman" w:hAnsi="Times New Roman" w:cs="Times New Roman"/>
      <w:b/>
      <w:i/>
      <w:color w:val="444444"/>
      <w:sz w:val="24"/>
      <w:szCs w:val="24"/>
      <w:u w:val="single"/>
      <w:lang w:val="ro-RO" w:eastAsia="ru-RU"/>
    </w:rPr>
  </w:style>
  <w:style w:type="paragraph" w:styleId="Heading4">
    <w:name w:val="heading 4"/>
    <w:basedOn w:val="Normal"/>
    <w:next w:val="Normal"/>
    <w:link w:val="Heading4Char"/>
    <w:uiPriority w:val="9"/>
    <w:semiHidden/>
    <w:unhideWhenUsed/>
    <w:qFormat/>
    <w:rsid w:val="005D5E5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semiHidden/>
    <w:unhideWhenUsed/>
    <w:qFormat/>
    <w:rsid w:val="00782645"/>
    <w:pPr>
      <w:keepNext/>
      <w:spacing w:after="0" w:line="240" w:lineRule="auto"/>
      <w:jc w:val="center"/>
      <w:outlineLvl w:val="5"/>
    </w:pPr>
    <w:rPr>
      <w:rFonts w:ascii="Times New Roman" w:eastAsia="Times New Roman" w:hAnsi="Times New Roman" w:cs="Times New Roman"/>
      <w:sz w:val="28"/>
      <w:szCs w:val="24"/>
      <w:lang w:val="ro-RO" w:eastAsia="ru-RU"/>
    </w:rPr>
  </w:style>
  <w:style w:type="paragraph" w:styleId="Heading9">
    <w:name w:val="heading 9"/>
    <w:basedOn w:val="Normal"/>
    <w:next w:val="Normal"/>
    <w:link w:val="Heading9Char"/>
    <w:semiHidden/>
    <w:unhideWhenUsed/>
    <w:qFormat/>
    <w:rsid w:val="00782645"/>
    <w:pPr>
      <w:keepNext/>
      <w:spacing w:after="0" w:line="240" w:lineRule="auto"/>
      <w:outlineLvl w:val="8"/>
    </w:pPr>
    <w:rPr>
      <w:rFonts w:ascii="Times New Roman" w:eastAsia="Times New Roman" w:hAnsi="Times New Roman" w:cs="Times New Roman"/>
      <w:color w:val="000080"/>
      <w:sz w:val="28"/>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8F9"/>
    <w:pPr>
      <w:ind w:left="720"/>
      <w:contextualSpacing/>
    </w:pPr>
    <w:rPr>
      <w:rFonts w:eastAsiaTheme="minorEastAsia"/>
      <w:lang w:eastAsia="en-GB"/>
    </w:rPr>
  </w:style>
  <w:style w:type="character" w:styleId="IntenseReference">
    <w:name w:val="Intense Reference"/>
    <w:basedOn w:val="DefaultParagraphFont"/>
    <w:uiPriority w:val="32"/>
    <w:qFormat/>
    <w:rsid w:val="003351D7"/>
    <w:rPr>
      <w:b/>
      <w:bCs/>
      <w:smallCaps/>
      <w:color w:val="C0504D" w:themeColor="accent2"/>
      <w:spacing w:val="5"/>
      <w:u w:val="single"/>
    </w:rPr>
  </w:style>
  <w:style w:type="paragraph" w:styleId="BalloonText">
    <w:name w:val="Balloon Text"/>
    <w:basedOn w:val="Normal"/>
    <w:link w:val="BalloonTextChar"/>
    <w:uiPriority w:val="99"/>
    <w:semiHidden/>
    <w:unhideWhenUsed/>
    <w:rsid w:val="000A31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1D3"/>
    <w:rPr>
      <w:rFonts w:ascii="Tahoma" w:hAnsi="Tahoma" w:cs="Tahoma"/>
      <w:sz w:val="16"/>
      <w:szCs w:val="16"/>
      <w:lang w:val="en-GB"/>
    </w:rPr>
  </w:style>
  <w:style w:type="table" w:styleId="TableGrid">
    <w:name w:val="Table Grid"/>
    <w:basedOn w:val="TableNormal"/>
    <w:uiPriority w:val="59"/>
    <w:rsid w:val="00026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53E0"/>
    <w:pPr>
      <w:tabs>
        <w:tab w:val="center" w:pos="4677"/>
        <w:tab w:val="right" w:pos="9355"/>
      </w:tabs>
      <w:spacing w:after="0" w:line="240" w:lineRule="auto"/>
    </w:pPr>
  </w:style>
  <w:style w:type="character" w:customStyle="1" w:styleId="HeaderChar">
    <w:name w:val="Header Char"/>
    <w:basedOn w:val="DefaultParagraphFont"/>
    <w:link w:val="Header"/>
    <w:uiPriority w:val="99"/>
    <w:rsid w:val="004F53E0"/>
    <w:rPr>
      <w:lang w:val="en-GB"/>
    </w:rPr>
  </w:style>
  <w:style w:type="paragraph" w:styleId="Footer">
    <w:name w:val="footer"/>
    <w:basedOn w:val="Normal"/>
    <w:link w:val="FooterChar"/>
    <w:uiPriority w:val="99"/>
    <w:unhideWhenUsed/>
    <w:rsid w:val="004F53E0"/>
    <w:pPr>
      <w:tabs>
        <w:tab w:val="center" w:pos="4677"/>
        <w:tab w:val="right" w:pos="9355"/>
      </w:tabs>
      <w:spacing w:after="0" w:line="240" w:lineRule="auto"/>
    </w:pPr>
  </w:style>
  <w:style w:type="character" w:customStyle="1" w:styleId="FooterChar">
    <w:name w:val="Footer Char"/>
    <w:basedOn w:val="DefaultParagraphFont"/>
    <w:link w:val="Footer"/>
    <w:uiPriority w:val="99"/>
    <w:rsid w:val="004F53E0"/>
    <w:rPr>
      <w:lang w:val="en-GB"/>
    </w:rPr>
  </w:style>
  <w:style w:type="paragraph" w:styleId="NoSpacing">
    <w:name w:val="No Spacing"/>
    <w:link w:val="NoSpacingChar"/>
    <w:uiPriority w:val="1"/>
    <w:qFormat/>
    <w:rsid w:val="00A143F6"/>
    <w:pPr>
      <w:spacing w:after="0" w:line="240" w:lineRule="auto"/>
    </w:pPr>
    <w:rPr>
      <w:lang w:val="en-US"/>
    </w:rPr>
  </w:style>
  <w:style w:type="character" w:customStyle="1" w:styleId="NoSpacingChar">
    <w:name w:val="No Spacing Char"/>
    <w:basedOn w:val="DefaultParagraphFont"/>
    <w:link w:val="NoSpacing"/>
    <w:uiPriority w:val="1"/>
    <w:rsid w:val="00A143F6"/>
    <w:rPr>
      <w:lang w:val="en-US"/>
    </w:rPr>
  </w:style>
  <w:style w:type="character" w:customStyle="1" w:styleId="Heading3Char">
    <w:name w:val="Heading 3 Char"/>
    <w:basedOn w:val="DefaultParagraphFont"/>
    <w:link w:val="Heading3"/>
    <w:rsid w:val="007A4FAA"/>
    <w:rPr>
      <w:rFonts w:ascii="Times New Roman" w:eastAsia="Times New Roman" w:hAnsi="Times New Roman" w:cs="Times New Roman"/>
      <w:b/>
      <w:i/>
      <w:color w:val="444444"/>
      <w:sz w:val="24"/>
      <w:szCs w:val="24"/>
      <w:u w:val="single"/>
      <w:shd w:val="clear" w:color="auto" w:fill="FFFFFF"/>
      <w:lang w:val="ro-RO" w:eastAsia="ru-RU"/>
    </w:rPr>
  </w:style>
  <w:style w:type="character" w:customStyle="1" w:styleId="Heading6Char">
    <w:name w:val="Heading 6 Char"/>
    <w:basedOn w:val="DefaultParagraphFont"/>
    <w:link w:val="Heading6"/>
    <w:semiHidden/>
    <w:rsid w:val="00782645"/>
    <w:rPr>
      <w:rFonts w:ascii="Times New Roman" w:eastAsia="Times New Roman" w:hAnsi="Times New Roman" w:cs="Times New Roman"/>
      <w:sz w:val="28"/>
      <w:szCs w:val="24"/>
      <w:lang w:val="ro-RO" w:eastAsia="ru-RU"/>
    </w:rPr>
  </w:style>
  <w:style w:type="character" w:customStyle="1" w:styleId="Heading9Char">
    <w:name w:val="Heading 9 Char"/>
    <w:basedOn w:val="DefaultParagraphFont"/>
    <w:link w:val="Heading9"/>
    <w:semiHidden/>
    <w:rsid w:val="00782645"/>
    <w:rPr>
      <w:rFonts w:ascii="Times New Roman" w:eastAsia="Times New Roman" w:hAnsi="Times New Roman" w:cs="Times New Roman"/>
      <w:color w:val="000080"/>
      <w:sz w:val="28"/>
      <w:szCs w:val="24"/>
      <w:lang w:eastAsia="ru-RU"/>
    </w:rPr>
  </w:style>
  <w:style w:type="character" w:customStyle="1" w:styleId="Heading1Char">
    <w:name w:val="Heading 1 Char"/>
    <w:basedOn w:val="DefaultParagraphFont"/>
    <w:link w:val="Heading1"/>
    <w:uiPriority w:val="9"/>
    <w:rsid w:val="009F6599"/>
    <w:rPr>
      <w:rFonts w:ascii="Times New Roman" w:eastAsiaTheme="minorEastAsia" w:hAnsi="Times New Roman" w:cs="Times New Roman"/>
      <w:b/>
      <w:sz w:val="32"/>
      <w:szCs w:val="32"/>
      <w:lang w:val="ro-RO" w:eastAsia="en-GB"/>
    </w:rPr>
  </w:style>
  <w:style w:type="character" w:customStyle="1" w:styleId="Heading2Char">
    <w:name w:val="Heading 2 Char"/>
    <w:basedOn w:val="DefaultParagraphFont"/>
    <w:link w:val="Heading2"/>
    <w:uiPriority w:val="9"/>
    <w:rsid w:val="009F6599"/>
    <w:rPr>
      <w:rFonts w:ascii="Times New Roman" w:eastAsiaTheme="minorEastAsia" w:hAnsi="Times New Roman" w:cs="Times New Roman"/>
      <w:b/>
      <w:sz w:val="28"/>
      <w:szCs w:val="28"/>
      <w:lang w:val="ro-RO" w:eastAsia="en-GB"/>
    </w:rPr>
  </w:style>
  <w:style w:type="character" w:customStyle="1" w:styleId="Heading4Char">
    <w:name w:val="Heading 4 Char"/>
    <w:basedOn w:val="DefaultParagraphFont"/>
    <w:link w:val="Heading4"/>
    <w:uiPriority w:val="9"/>
    <w:semiHidden/>
    <w:rsid w:val="005D5E53"/>
    <w:rPr>
      <w:rFonts w:asciiTheme="majorHAnsi" w:eastAsiaTheme="majorEastAsia" w:hAnsiTheme="majorHAnsi" w:cstheme="majorBidi"/>
      <w:i/>
      <w:iCs/>
      <w:color w:val="365F91" w:themeColor="accent1" w:themeShade="BF"/>
      <w:lang w:val="en-GB"/>
    </w:rPr>
  </w:style>
  <w:style w:type="paragraph" w:styleId="TOCHeading">
    <w:name w:val="TOC Heading"/>
    <w:basedOn w:val="Heading1"/>
    <w:next w:val="Normal"/>
    <w:uiPriority w:val="39"/>
    <w:unhideWhenUsed/>
    <w:qFormat/>
    <w:rsid w:val="00CD15DA"/>
    <w:pPr>
      <w:keepNext/>
      <w:keepLines/>
      <w:tabs>
        <w:tab w:val="clear" w:pos="8505"/>
      </w:tabs>
      <w:autoSpaceDE/>
      <w:autoSpaceDN/>
      <w:adjustRightInd/>
      <w:spacing w:before="240" w:after="0" w:line="259" w:lineRule="auto"/>
      <w:outlineLvl w:val="9"/>
    </w:pPr>
    <w:rPr>
      <w:rFonts w:asciiTheme="majorHAnsi" w:eastAsiaTheme="majorEastAsia" w:hAnsiTheme="majorHAnsi" w:cstheme="majorBidi"/>
      <w:b w:val="0"/>
      <w:color w:val="365F91" w:themeColor="accent1" w:themeShade="BF"/>
      <w:lang w:val="en-US"/>
    </w:rPr>
  </w:style>
  <w:style w:type="paragraph" w:styleId="TOC1">
    <w:name w:val="toc 1"/>
    <w:basedOn w:val="Normal"/>
    <w:next w:val="Normal"/>
    <w:autoRedefine/>
    <w:uiPriority w:val="39"/>
    <w:unhideWhenUsed/>
    <w:rsid w:val="003F4C1A"/>
    <w:pPr>
      <w:tabs>
        <w:tab w:val="right" w:leader="dot" w:pos="9627"/>
      </w:tabs>
      <w:spacing w:after="100"/>
    </w:pPr>
    <w:rPr>
      <w:rFonts w:ascii="Times New Roman" w:hAnsi="Times New Roman" w:cs="Times New Roman"/>
      <w:b/>
      <w:noProof/>
      <w:sz w:val="24"/>
      <w:szCs w:val="24"/>
    </w:rPr>
  </w:style>
  <w:style w:type="paragraph" w:styleId="TOC3">
    <w:name w:val="toc 3"/>
    <w:basedOn w:val="Normal"/>
    <w:next w:val="Normal"/>
    <w:autoRedefine/>
    <w:uiPriority w:val="39"/>
    <w:unhideWhenUsed/>
    <w:rsid w:val="003B3DF7"/>
    <w:pPr>
      <w:tabs>
        <w:tab w:val="right" w:leader="dot" w:pos="9627"/>
      </w:tabs>
      <w:spacing w:after="100"/>
      <w:ind w:left="440"/>
    </w:pPr>
    <w:rPr>
      <w:rFonts w:ascii="Times New Roman" w:hAnsi="Times New Roman" w:cs="Times New Roman"/>
      <w:noProof/>
    </w:rPr>
  </w:style>
  <w:style w:type="character" w:styleId="Hyperlink">
    <w:name w:val="Hyperlink"/>
    <w:basedOn w:val="DefaultParagraphFont"/>
    <w:uiPriority w:val="99"/>
    <w:unhideWhenUsed/>
    <w:rsid w:val="00CD15DA"/>
    <w:rPr>
      <w:color w:val="0000FF" w:themeColor="hyperlink"/>
      <w:u w:val="single"/>
    </w:rPr>
  </w:style>
  <w:style w:type="paragraph" w:styleId="TOC2">
    <w:name w:val="toc 2"/>
    <w:basedOn w:val="Normal"/>
    <w:next w:val="Normal"/>
    <w:autoRedefine/>
    <w:uiPriority w:val="39"/>
    <w:unhideWhenUsed/>
    <w:rsid w:val="003B3DF7"/>
    <w:pPr>
      <w:tabs>
        <w:tab w:val="right" w:leader="dot" w:pos="9627"/>
      </w:tabs>
      <w:spacing w:after="100"/>
      <w:ind w:left="220"/>
    </w:pPr>
    <w:rPr>
      <w:rFonts w:ascii="Times New Roman" w:hAnsi="Times New Roman" w:cs="Times New Roman"/>
      <w:noProof/>
      <w:sz w:val="24"/>
      <w:szCs w:val="24"/>
    </w:rPr>
  </w:style>
  <w:style w:type="paragraph" w:styleId="NormalWeb">
    <w:name w:val="Normal (Web)"/>
    <w:basedOn w:val="Normal"/>
    <w:uiPriority w:val="99"/>
    <w:unhideWhenUsed/>
    <w:rsid w:val="002879D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2879D8"/>
    <w:rPr>
      <w:b/>
      <w:bCs/>
    </w:rPr>
  </w:style>
  <w:style w:type="character" w:styleId="Emphasis">
    <w:name w:val="Emphasis"/>
    <w:basedOn w:val="DefaultParagraphFont"/>
    <w:uiPriority w:val="20"/>
    <w:qFormat/>
    <w:rsid w:val="002879D8"/>
    <w:rPr>
      <w:i/>
      <w:iCs/>
    </w:rPr>
  </w:style>
  <w:style w:type="paragraph" w:styleId="BodyText3">
    <w:name w:val="Body Text 3"/>
    <w:basedOn w:val="Normal"/>
    <w:link w:val="BodyText3Char"/>
    <w:uiPriority w:val="99"/>
    <w:unhideWhenUsed/>
    <w:rsid w:val="005637FC"/>
    <w:pPr>
      <w:spacing w:after="120" w:line="276" w:lineRule="auto"/>
    </w:pPr>
    <w:rPr>
      <w:rFonts w:ascii="Calibri" w:eastAsia="Times New Roman" w:hAnsi="Calibri" w:cs="Times New Roman"/>
      <w:sz w:val="16"/>
      <w:szCs w:val="16"/>
      <w:lang w:val="en-US"/>
    </w:rPr>
  </w:style>
  <w:style w:type="character" w:customStyle="1" w:styleId="BodyText3Char">
    <w:name w:val="Body Text 3 Char"/>
    <w:basedOn w:val="DefaultParagraphFont"/>
    <w:link w:val="BodyText3"/>
    <w:uiPriority w:val="99"/>
    <w:rsid w:val="005637FC"/>
    <w:rPr>
      <w:rFonts w:ascii="Calibri" w:eastAsia="Times New Roman" w:hAnsi="Calibri" w:cs="Times New Roman"/>
      <w:sz w:val="16"/>
      <w:szCs w:val="16"/>
      <w:lang w:val="en-US"/>
    </w:rPr>
  </w:style>
  <w:style w:type="paragraph" w:styleId="Title">
    <w:name w:val="Title"/>
    <w:basedOn w:val="Normal"/>
    <w:next w:val="Normal"/>
    <w:link w:val="TitleChar"/>
    <w:uiPriority w:val="10"/>
    <w:qFormat/>
    <w:rsid w:val="00BB34DB"/>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ru-RU" w:eastAsia="ru-RU"/>
    </w:rPr>
  </w:style>
  <w:style w:type="character" w:customStyle="1" w:styleId="TitleChar">
    <w:name w:val="Title Char"/>
    <w:basedOn w:val="DefaultParagraphFont"/>
    <w:link w:val="Title"/>
    <w:uiPriority w:val="10"/>
    <w:rsid w:val="00BB34DB"/>
    <w:rPr>
      <w:rFonts w:asciiTheme="majorHAnsi" w:eastAsiaTheme="majorEastAsia" w:hAnsiTheme="majorHAnsi" w:cstheme="majorBidi"/>
      <w:color w:val="404040" w:themeColor="text1" w:themeTint="BF"/>
      <w:spacing w:val="-10"/>
      <w:kern w:val="28"/>
      <w:sz w:val="56"/>
      <w:szCs w:val="56"/>
      <w:lang w:eastAsia="ru-RU"/>
    </w:rPr>
  </w:style>
  <w:style w:type="paragraph" w:styleId="Subtitle">
    <w:name w:val="Subtitle"/>
    <w:basedOn w:val="Normal"/>
    <w:next w:val="Normal"/>
    <w:link w:val="SubtitleChar"/>
    <w:uiPriority w:val="11"/>
    <w:qFormat/>
    <w:rsid w:val="00BB34DB"/>
    <w:pPr>
      <w:numPr>
        <w:ilvl w:val="1"/>
      </w:numPr>
    </w:pPr>
    <w:rPr>
      <w:rFonts w:eastAsiaTheme="minorEastAsia" w:cs="Times New Roman"/>
      <w:color w:val="5A5A5A" w:themeColor="text1" w:themeTint="A5"/>
      <w:spacing w:val="15"/>
      <w:lang w:val="ru-RU" w:eastAsia="ru-RU"/>
    </w:rPr>
  </w:style>
  <w:style w:type="character" w:customStyle="1" w:styleId="SubtitleChar">
    <w:name w:val="Subtitle Char"/>
    <w:basedOn w:val="DefaultParagraphFont"/>
    <w:link w:val="Subtitle"/>
    <w:uiPriority w:val="11"/>
    <w:rsid w:val="00BB34DB"/>
    <w:rPr>
      <w:rFonts w:eastAsiaTheme="minorEastAsia" w:cs="Times New Roman"/>
      <w:color w:val="5A5A5A" w:themeColor="text1" w:themeTint="A5"/>
      <w:spacing w:val="15"/>
      <w:lang w:eastAsia="ru-RU"/>
    </w:rPr>
  </w:style>
  <w:style w:type="character" w:customStyle="1" w:styleId="tlid-translation">
    <w:name w:val="tlid-translation"/>
    <w:rsid w:val="00474E41"/>
  </w:style>
  <w:style w:type="paragraph" w:styleId="FootnoteText">
    <w:name w:val="footnote text"/>
    <w:basedOn w:val="Normal"/>
    <w:link w:val="FootnoteTextChar"/>
    <w:uiPriority w:val="99"/>
    <w:semiHidden/>
    <w:unhideWhenUsed/>
    <w:rsid w:val="00FD341C"/>
    <w:pPr>
      <w:spacing w:after="0" w:line="240" w:lineRule="auto"/>
    </w:pPr>
    <w:rPr>
      <w:rFonts w:eastAsiaTheme="minorEastAsia"/>
      <w:sz w:val="20"/>
      <w:szCs w:val="20"/>
      <w:lang w:val="ru-RU" w:eastAsia="ru-RU"/>
    </w:rPr>
  </w:style>
  <w:style w:type="character" w:customStyle="1" w:styleId="FootnoteTextChar">
    <w:name w:val="Footnote Text Char"/>
    <w:basedOn w:val="DefaultParagraphFont"/>
    <w:link w:val="FootnoteText"/>
    <w:uiPriority w:val="99"/>
    <w:semiHidden/>
    <w:rsid w:val="00FD341C"/>
    <w:rPr>
      <w:rFonts w:eastAsiaTheme="minorEastAsia"/>
      <w:sz w:val="20"/>
      <w:szCs w:val="20"/>
      <w:lang w:eastAsia="ru-RU"/>
    </w:rPr>
  </w:style>
  <w:style w:type="character" w:styleId="FootnoteReference">
    <w:name w:val="footnote reference"/>
    <w:basedOn w:val="DefaultParagraphFont"/>
    <w:uiPriority w:val="99"/>
    <w:semiHidden/>
    <w:unhideWhenUsed/>
    <w:rsid w:val="00FD341C"/>
    <w:rPr>
      <w:vertAlign w:val="superscript"/>
    </w:rPr>
  </w:style>
  <w:style w:type="paragraph" w:customStyle="1" w:styleId="Default">
    <w:name w:val="Default"/>
    <w:rsid w:val="00A37146"/>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F771E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771ED"/>
    <w:rPr>
      <w:sz w:val="20"/>
      <w:szCs w:val="20"/>
      <w:lang w:val="en-GB"/>
    </w:rPr>
  </w:style>
  <w:style w:type="character" w:styleId="EndnoteReference">
    <w:name w:val="endnote reference"/>
    <w:basedOn w:val="DefaultParagraphFont"/>
    <w:uiPriority w:val="99"/>
    <w:semiHidden/>
    <w:unhideWhenUsed/>
    <w:rsid w:val="00F771ED"/>
    <w:rPr>
      <w:vertAlign w:val="superscript"/>
    </w:rPr>
  </w:style>
  <w:style w:type="paragraph" w:styleId="Revision">
    <w:name w:val="Revision"/>
    <w:hidden/>
    <w:uiPriority w:val="99"/>
    <w:semiHidden/>
    <w:rsid w:val="00644D4E"/>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0631">
      <w:bodyDiv w:val="1"/>
      <w:marLeft w:val="0"/>
      <w:marRight w:val="0"/>
      <w:marTop w:val="0"/>
      <w:marBottom w:val="0"/>
      <w:divBdr>
        <w:top w:val="none" w:sz="0" w:space="0" w:color="auto"/>
        <w:left w:val="none" w:sz="0" w:space="0" w:color="auto"/>
        <w:bottom w:val="none" w:sz="0" w:space="0" w:color="auto"/>
        <w:right w:val="none" w:sz="0" w:space="0" w:color="auto"/>
      </w:divBdr>
    </w:div>
    <w:div w:id="483543895">
      <w:bodyDiv w:val="1"/>
      <w:marLeft w:val="0"/>
      <w:marRight w:val="0"/>
      <w:marTop w:val="0"/>
      <w:marBottom w:val="0"/>
      <w:divBdr>
        <w:top w:val="none" w:sz="0" w:space="0" w:color="auto"/>
        <w:left w:val="none" w:sz="0" w:space="0" w:color="auto"/>
        <w:bottom w:val="none" w:sz="0" w:space="0" w:color="auto"/>
        <w:right w:val="none" w:sz="0" w:space="0" w:color="auto"/>
      </w:divBdr>
    </w:div>
    <w:div w:id="622737976">
      <w:bodyDiv w:val="1"/>
      <w:marLeft w:val="0"/>
      <w:marRight w:val="0"/>
      <w:marTop w:val="0"/>
      <w:marBottom w:val="0"/>
      <w:divBdr>
        <w:top w:val="none" w:sz="0" w:space="0" w:color="auto"/>
        <w:left w:val="none" w:sz="0" w:space="0" w:color="auto"/>
        <w:bottom w:val="none" w:sz="0" w:space="0" w:color="auto"/>
        <w:right w:val="none" w:sz="0" w:space="0" w:color="auto"/>
      </w:divBdr>
    </w:div>
    <w:div w:id="805004897">
      <w:bodyDiv w:val="1"/>
      <w:marLeft w:val="0"/>
      <w:marRight w:val="0"/>
      <w:marTop w:val="0"/>
      <w:marBottom w:val="0"/>
      <w:divBdr>
        <w:top w:val="none" w:sz="0" w:space="0" w:color="auto"/>
        <w:left w:val="none" w:sz="0" w:space="0" w:color="auto"/>
        <w:bottom w:val="none" w:sz="0" w:space="0" w:color="auto"/>
        <w:right w:val="none" w:sz="0" w:space="0" w:color="auto"/>
      </w:divBdr>
    </w:div>
    <w:div w:id="838694340">
      <w:bodyDiv w:val="1"/>
      <w:marLeft w:val="0"/>
      <w:marRight w:val="0"/>
      <w:marTop w:val="0"/>
      <w:marBottom w:val="0"/>
      <w:divBdr>
        <w:top w:val="none" w:sz="0" w:space="0" w:color="auto"/>
        <w:left w:val="none" w:sz="0" w:space="0" w:color="auto"/>
        <w:bottom w:val="none" w:sz="0" w:space="0" w:color="auto"/>
        <w:right w:val="none" w:sz="0" w:space="0" w:color="auto"/>
      </w:divBdr>
    </w:div>
    <w:div w:id="850409965">
      <w:bodyDiv w:val="1"/>
      <w:marLeft w:val="0"/>
      <w:marRight w:val="0"/>
      <w:marTop w:val="0"/>
      <w:marBottom w:val="0"/>
      <w:divBdr>
        <w:top w:val="none" w:sz="0" w:space="0" w:color="auto"/>
        <w:left w:val="none" w:sz="0" w:space="0" w:color="auto"/>
        <w:bottom w:val="none" w:sz="0" w:space="0" w:color="auto"/>
        <w:right w:val="none" w:sz="0" w:space="0" w:color="auto"/>
      </w:divBdr>
    </w:div>
    <w:div w:id="931619948">
      <w:bodyDiv w:val="1"/>
      <w:marLeft w:val="0"/>
      <w:marRight w:val="0"/>
      <w:marTop w:val="0"/>
      <w:marBottom w:val="0"/>
      <w:divBdr>
        <w:top w:val="none" w:sz="0" w:space="0" w:color="auto"/>
        <w:left w:val="none" w:sz="0" w:space="0" w:color="auto"/>
        <w:bottom w:val="none" w:sz="0" w:space="0" w:color="auto"/>
        <w:right w:val="none" w:sz="0" w:space="0" w:color="auto"/>
      </w:divBdr>
    </w:div>
    <w:div w:id="1479305245">
      <w:bodyDiv w:val="1"/>
      <w:marLeft w:val="0"/>
      <w:marRight w:val="0"/>
      <w:marTop w:val="0"/>
      <w:marBottom w:val="0"/>
      <w:divBdr>
        <w:top w:val="none" w:sz="0" w:space="0" w:color="auto"/>
        <w:left w:val="none" w:sz="0" w:space="0" w:color="auto"/>
        <w:bottom w:val="none" w:sz="0" w:space="0" w:color="auto"/>
        <w:right w:val="none" w:sz="0" w:space="0" w:color="auto"/>
      </w:divBdr>
    </w:div>
    <w:div w:id="1573389044">
      <w:bodyDiv w:val="1"/>
      <w:marLeft w:val="0"/>
      <w:marRight w:val="0"/>
      <w:marTop w:val="0"/>
      <w:marBottom w:val="0"/>
      <w:divBdr>
        <w:top w:val="none" w:sz="0" w:space="0" w:color="auto"/>
        <w:left w:val="none" w:sz="0" w:space="0" w:color="auto"/>
        <w:bottom w:val="none" w:sz="0" w:space="0" w:color="auto"/>
        <w:right w:val="none" w:sz="0" w:space="0" w:color="auto"/>
      </w:divBdr>
      <w:divsChild>
        <w:div w:id="1332028040">
          <w:marLeft w:val="0"/>
          <w:marRight w:val="0"/>
          <w:marTop w:val="0"/>
          <w:marBottom w:val="0"/>
          <w:divBdr>
            <w:top w:val="none" w:sz="0" w:space="0" w:color="auto"/>
            <w:left w:val="none" w:sz="0" w:space="0" w:color="auto"/>
            <w:bottom w:val="none" w:sz="0" w:space="0" w:color="auto"/>
            <w:right w:val="none" w:sz="0" w:space="0" w:color="auto"/>
          </w:divBdr>
        </w:div>
      </w:divsChild>
    </w:div>
    <w:div w:id="159844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9" Type="http://schemas.openxmlformats.org/officeDocument/2006/relationships/fontTable" Target="fontTable.xml"/><Relationship Id="rId21" Type="http://schemas.openxmlformats.org/officeDocument/2006/relationships/chart" Target="charts/chart13.xml"/><Relationship Id="rId34" Type="http://schemas.openxmlformats.org/officeDocument/2006/relationships/chart" Target="charts/chart26.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chart" Target="charts/chart25.xm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chart" Target="charts/chart24.xml"/><Relationship Id="rId37" Type="http://schemas.openxmlformats.org/officeDocument/2006/relationships/chart" Target="charts/chart29.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chart" Target="charts/chart28.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2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chart" Target="charts/chart27.xml"/><Relationship Id="rId8" Type="http://schemas.openxmlformats.org/officeDocument/2006/relationships/image" Target="media/image1.pn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oleObject" Target="../embeddings/oleObject9.bin"/><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3" Type="http://schemas.openxmlformats.org/officeDocument/2006/relationships/chartUserShapes" Target="../drawings/drawing5.xml"/><Relationship Id="rId2" Type="http://schemas.openxmlformats.org/officeDocument/2006/relationships/oleObject" Target="../embeddings/oleObject10.bin"/><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embeddings/oleObject11.bin"/><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embeddings/oleObject12.bin"/><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embeddings/oleObject13.bin"/><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embeddings/oleObject14.bin"/><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3" Type="http://schemas.openxmlformats.org/officeDocument/2006/relationships/chartUserShapes" Target="../drawings/drawing6.xml"/><Relationship Id="rId2" Type="http://schemas.openxmlformats.org/officeDocument/2006/relationships/oleObject" Target="../embeddings/oleObject15.bin"/><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3" Type="http://schemas.openxmlformats.org/officeDocument/2006/relationships/chartUserShapes" Target="../drawings/drawing7.xml"/><Relationship Id="rId2" Type="http://schemas.openxmlformats.org/officeDocument/2006/relationships/oleObject" Target="../embeddings/oleObject16.bin"/><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oleObject" Target="../embeddings/oleObject17.bin"/><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oleObject" Target="../embeddings/oleObject18.bin"/><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2.xml"/><Relationship Id="rId4" Type="http://schemas.openxmlformats.org/officeDocument/2006/relationships/oleObject" Target="../embeddings/oleObject1.bin"/></Relationships>
</file>

<file path=word/charts/_rels/chart20.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0.xml"/></Relationships>
</file>

<file path=word/charts/_rels/chart21.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1.xml"/></Relationships>
</file>

<file path=word/charts/_rels/chart22.xml.rels><?xml version="1.0" encoding="UTF-8" standalone="yes"?>
<Relationships xmlns="http://schemas.openxmlformats.org/package/2006/relationships"><Relationship Id="rId3" Type="http://schemas.openxmlformats.org/officeDocument/2006/relationships/themeOverride" Target="../theme/themeOverride2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23.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23.xml"/></Relationships>
</file>

<file path=word/charts/_rels/chart24.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25.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24.xml"/></Relationships>
</file>

<file path=word/charts/_rels/chart26.xml.rels><?xml version="1.0" encoding="UTF-8" standalone="yes"?>
<Relationships xmlns="http://schemas.openxmlformats.org/package/2006/relationships"><Relationship Id="rId3" Type="http://schemas.openxmlformats.org/officeDocument/2006/relationships/themeOverride" Target="../theme/themeOverride25.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7.xlsx"/></Relationships>
</file>

<file path=word/charts/_rels/chart27.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26.xml"/></Relationships>
</file>

<file path=word/charts/_rels/chart28.xml.rels><?xml version="1.0" encoding="UTF-8" standalone="yes"?>
<Relationships xmlns="http://schemas.openxmlformats.org/package/2006/relationships"><Relationship Id="rId3" Type="http://schemas.openxmlformats.org/officeDocument/2006/relationships/themeOverride" Target="../theme/themeOverride2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9.xlsx"/></Relationships>
</file>

<file path=word/charts/_rels/chart29.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28.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2.bin"/></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embeddings/oleObject5.bin"/><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embeddings/oleObject6.bin"/><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embeddings/oleObject7.bin"/><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embeddings/oleObject8.bin"/><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dLbl>
              <c:idx val="1"/>
              <c:layout>
                <c:manualLayout>
                  <c:x val="3.1595576619273301E-3"/>
                  <c:y val="-6.417941212845776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7B2-4271-B309-E2B0C028FD68}"/>
                </c:ext>
              </c:extLst>
            </c:dLbl>
            <c:dLbl>
              <c:idx val="2"/>
              <c:layout>
                <c:manualLayout>
                  <c:x val="-5.7924554652602808E-17"/>
                  <c:y val="3.602973712055626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7B2-4271-B309-E2B0C028FD68}"/>
                </c:ext>
              </c:extLst>
            </c:dLbl>
            <c:dLbl>
              <c:idx val="3"/>
              <c:layout>
                <c:manualLayout>
                  <c:x val="-6.3191153238546603E-3"/>
                  <c:y val="1.508732874359291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7B2-4271-B309-E2B0C028FD68}"/>
                </c:ext>
              </c:extLst>
            </c:dLbl>
            <c:dLbl>
              <c:idx val="4"/>
              <c:layout>
                <c:manualLayout>
                  <c:x val="-3.1595576619273301E-3"/>
                  <c:y val="2.904893432823514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7B2-4271-B309-E2B0C028FD6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o-M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2019</c:v>
                </c:pt>
                <c:pt idx="1">
                  <c:v>2020</c:v>
                </c:pt>
                <c:pt idx="2">
                  <c:v>2021</c:v>
                </c:pt>
                <c:pt idx="3">
                  <c:v>2022</c:v>
                </c:pt>
                <c:pt idx="4">
                  <c:v>2023</c:v>
                </c:pt>
              </c:numCache>
            </c:numRef>
          </c:cat>
          <c:val>
            <c:numRef>
              <c:f>Sheet1!$B$2:$B$6</c:f>
              <c:numCache>
                <c:formatCode>General</c:formatCode>
                <c:ptCount val="5"/>
                <c:pt idx="0">
                  <c:v>2.69</c:v>
                </c:pt>
                <c:pt idx="1">
                  <c:v>2.64</c:v>
                </c:pt>
                <c:pt idx="2">
                  <c:v>2.63</c:v>
                </c:pt>
                <c:pt idx="3">
                  <c:v>2.56</c:v>
                </c:pt>
                <c:pt idx="4">
                  <c:v>2.5099999999999998</c:v>
                </c:pt>
              </c:numCache>
            </c:numRef>
          </c:val>
          <c:extLst>
            <c:ext xmlns:c16="http://schemas.microsoft.com/office/drawing/2014/chart" uri="{C3380CC4-5D6E-409C-BE32-E72D297353CC}">
              <c16:uniqueId val="{00000004-B7B2-4271-B309-E2B0C028FD68}"/>
            </c:ext>
          </c:extLst>
        </c:ser>
        <c:dLbls>
          <c:dLblPos val="outEnd"/>
          <c:showLegendKey val="0"/>
          <c:showVal val="1"/>
          <c:showCatName val="0"/>
          <c:showSerName val="0"/>
          <c:showPercent val="0"/>
          <c:showBubbleSize val="0"/>
        </c:dLbls>
        <c:gapWidth val="219"/>
        <c:overlap val="-27"/>
        <c:axId val="443488560"/>
        <c:axId val="332017616"/>
      </c:barChart>
      <c:catAx>
        <c:axId val="443488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o-MD"/>
          </a:p>
        </c:txPr>
        <c:crossAx val="332017616"/>
        <c:crosses val="autoZero"/>
        <c:auto val="1"/>
        <c:lblAlgn val="ctr"/>
        <c:lblOffset val="100"/>
        <c:noMultiLvlLbl val="0"/>
      </c:catAx>
      <c:valAx>
        <c:axId val="332017616"/>
        <c:scaling>
          <c:orientation val="minMax"/>
          <c:max val="2.7"/>
        </c:scaling>
        <c:delete val="0"/>
        <c:axPos val="l"/>
        <c:majorGridlines>
          <c:spPr>
            <a:ln w="9525" cap="flat" cmpd="sng" algn="ctr">
              <a:solidFill>
                <a:schemeClr val="tx1"/>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o-MD"/>
          </a:p>
        </c:txPr>
        <c:crossAx val="443488560"/>
        <c:crosses val="autoZero"/>
        <c:crossBetween val="between"/>
        <c:majorUnit val="5.000000000000001E-2"/>
      </c:valAx>
      <c:spPr>
        <a:noFill/>
        <a:ln w="12700">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ro-MD"/>
    </a:p>
  </c:txPr>
  <c:externalData r:id="rId4">
    <c:autoUpdate val="0"/>
  </c:externalData>
  <c:userShapes r:id="rId5"/>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'[lucru raport 2021 (1).xlsx]6_PO_Activitati economice'!$A$100</c:f>
              <c:strCache>
                <c:ptCount val="1"/>
                <c:pt idx="0">
                  <c:v>Agricultură, silvicultură şi pescuit</c:v>
                </c:pt>
              </c:strCache>
            </c:strRef>
          </c:tx>
          <c:invertIfNegative val="0"/>
          <c:dLbls>
            <c:spPr>
              <a:noFill/>
              <a:ln>
                <a:noFill/>
              </a:ln>
              <a:effectLst/>
            </c:spPr>
            <c:txPr>
              <a:bodyPr/>
              <a:lstStyle/>
              <a:p>
                <a:pPr>
                  <a:defRPr sz="700">
                    <a:solidFill>
                      <a:srgbClr val="0070C0"/>
                    </a:solidFill>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'[lucru raport 2021 (1).xlsx]6_PO_Activitati economice'!$B$99:$E$99</c:f>
              <c:strCache>
                <c:ptCount val="4"/>
                <c:pt idx="0">
                  <c:v>mun. Chişinău</c:v>
                </c:pt>
                <c:pt idx="1">
                  <c:v>Nord</c:v>
                </c:pt>
                <c:pt idx="2">
                  <c:v>Centru</c:v>
                </c:pt>
                <c:pt idx="3">
                  <c:v>Sud</c:v>
                </c:pt>
              </c:strCache>
            </c:strRef>
          </c:cat>
          <c:val>
            <c:numRef>
              <c:f>'[lucru raport 2021 (1).xlsx]6_PO_Activitati economice'!$B$100:$E$100</c:f>
              <c:numCache>
                <c:formatCode>General</c:formatCode>
                <c:ptCount val="4"/>
                <c:pt idx="0">
                  <c:v>1.1000000000000001</c:v>
                </c:pt>
                <c:pt idx="1">
                  <c:v>40.799999999999997</c:v>
                </c:pt>
                <c:pt idx="2">
                  <c:v>15.7</c:v>
                </c:pt>
                <c:pt idx="3" formatCode="0.0">
                  <c:v>24</c:v>
                </c:pt>
              </c:numCache>
            </c:numRef>
          </c:val>
          <c:extLst>
            <c:ext xmlns:c16="http://schemas.microsoft.com/office/drawing/2014/chart" uri="{C3380CC4-5D6E-409C-BE32-E72D297353CC}">
              <c16:uniqueId val="{00000000-981D-4B37-BEAB-CC3B84143786}"/>
            </c:ext>
          </c:extLst>
        </c:ser>
        <c:ser>
          <c:idx val="1"/>
          <c:order val="1"/>
          <c:tx>
            <c:strRef>
              <c:f>'[lucru raport 2021 (1).xlsx]6_PO_Activitati economice'!$A$101</c:f>
              <c:strCache>
                <c:ptCount val="1"/>
                <c:pt idx="0">
                  <c:v>Industrie</c:v>
                </c:pt>
              </c:strCache>
            </c:strRef>
          </c:tx>
          <c:invertIfNegative val="0"/>
          <c:dLbls>
            <c:spPr>
              <a:noFill/>
              <a:ln>
                <a:noFill/>
              </a:ln>
              <a:effectLst/>
            </c:spPr>
            <c:txPr>
              <a:bodyPr/>
              <a:lstStyle/>
              <a:p>
                <a:pPr>
                  <a:defRPr sz="700">
                    <a:solidFill>
                      <a:srgbClr val="C00000"/>
                    </a:solidFill>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'[lucru raport 2021 (1).xlsx]6_PO_Activitati economice'!$B$99:$E$99</c:f>
              <c:strCache>
                <c:ptCount val="4"/>
                <c:pt idx="0">
                  <c:v>mun. Chişinău</c:v>
                </c:pt>
                <c:pt idx="1">
                  <c:v>Nord</c:v>
                </c:pt>
                <c:pt idx="2">
                  <c:v>Centru</c:v>
                </c:pt>
                <c:pt idx="3">
                  <c:v>Sud</c:v>
                </c:pt>
              </c:strCache>
            </c:strRef>
          </c:cat>
          <c:val>
            <c:numRef>
              <c:f>'[lucru raport 2021 (1).xlsx]6_PO_Activitati economice'!$B$101:$E$101</c:f>
              <c:numCache>
                <c:formatCode>General</c:formatCode>
                <c:ptCount val="4"/>
                <c:pt idx="0">
                  <c:v>15.8</c:v>
                </c:pt>
                <c:pt idx="1">
                  <c:v>13.8</c:v>
                </c:pt>
                <c:pt idx="2">
                  <c:v>17.3</c:v>
                </c:pt>
                <c:pt idx="3">
                  <c:v>12.6</c:v>
                </c:pt>
              </c:numCache>
            </c:numRef>
          </c:val>
          <c:extLst>
            <c:ext xmlns:c16="http://schemas.microsoft.com/office/drawing/2014/chart" uri="{C3380CC4-5D6E-409C-BE32-E72D297353CC}">
              <c16:uniqueId val="{00000001-981D-4B37-BEAB-CC3B84143786}"/>
            </c:ext>
          </c:extLst>
        </c:ser>
        <c:ser>
          <c:idx val="2"/>
          <c:order val="2"/>
          <c:tx>
            <c:strRef>
              <c:f>'[lucru raport 2021 (1).xlsx]6_PO_Activitati economice'!$A$102</c:f>
              <c:strCache>
                <c:ptCount val="1"/>
                <c:pt idx="0">
                  <c:v>Construcţii</c:v>
                </c:pt>
              </c:strCache>
            </c:strRef>
          </c:tx>
          <c:invertIfNegative val="0"/>
          <c:dLbls>
            <c:spPr>
              <a:noFill/>
              <a:ln>
                <a:noFill/>
              </a:ln>
              <a:effectLst/>
            </c:spPr>
            <c:txPr>
              <a:bodyPr/>
              <a:lstStyle/>
              <a:p>
                <a:pPr>
                  <a:defRPr sz="700">
                    <a:solidFill>
                      <a:srgbClr val="00B050"/>
                    </a:solidFill>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'[lucru raport 2021 (1).xlsx]6_PO_Activitati economice'!$B$99:$E$99</c:f>
              <c:strCache>
                <c:ptCount val="4"/>
                <c:pt idx="0">
                  <c:v>mun. Chişinău</c:v>
                </c:pt>
                <c:pt idx="1">
                  <c:v>Nord</c:v>
                </c:pt>
                <c:pt idx="2">
                  <c:v>Centru</c:v>
                </c:pt>
                <c:pt idx="3">
                  <c:v>Sud</c:v>
                </c:pt>
              </c:strCache>
            </c:strRef>
          </c:cat>
          <c:val>
            <c:numRef>
              <c:f>'[lucru raport 2021 (1).xlsx]6_PO_Activitati economice'!$B$102:$E$102</c:f>
              <c:numCache>
                <c:formatCode>General</c:formatCode>
                <c:ptCount val="4"/>
                <c:pt idx="0">
                  <c:v>7.8</c:v>
                </c:pt>
                <c:pt idx="1">
                  <c:v>5.0999999999999996</c:v>
                </c:pt>
                <c:pt idx="2">
                  <c:v>10.3</c:v>
                </c:pt>
                <c:pt idx="3">
                  <c:v>7.9</c:v>
                </c:pt>
              </c:numCache>
            </c:numRef>
          </c:val>
          <c:extLst>
            <c:ext xmlns:c16="http://schemas.microsoft.com/office/drawing/2014/chart" uri="{C3380CC4-5D6E-409C-BE32-E72D297353CC}">
              <c16:uniqueId val="{00000002-981D-4B37-BEAB-CC3B84143786}"/>
            </c:ext>
          </c:extLst>
        </c:ser>
        <c:ser>
          <c:idx val="3"/>
          <c:order val="3"/>
          <c:tx>
            <c:strRef>
              <c:f>'[lucru raport 2021 (1).xlsx]6_PO_Activitati economice'!$A$103</c:f>
              <c:strCache>
                <c:ptCount val="1"/>
                <c:pt idx="0">
                  <c:v>Servicii</c:v>
                </c:pt>
              </c:strCache>
            </c:strRef>
          </c:tx>
          <c:invertIfNegative val="0"/>
          <c:dLbls>
            <c:spPr>
              <a:noFill/>
              <a:ln>
                <a:noFill/>
              </a:ln>
              <a:effectLst/>
            </c:spPr>
            <c:txPr>
              <a:bodyPr/>
              <a:lstStyle/>
              <a:p>
                <a:pPr>
                  <a:defRPr sz="700">
                    <a:solidFill>
                      <a:srgbClr val="7030A0"/>
                    </a:solidFill>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'[lucru raport 2021 (1).xlsx]6_PO_Activitati economice'!$B$99:$E$99</c:f>
              <c:strCache>
                <c:ptCount val="4"/>
                <c:pt idx="0">
                  <c:v>mun. Chişinău</c:v>
                </c:pt>
                <c:pt idx="1">
                  <c:v>Nord</c:v>
                </c:pt>
                <c:pt idx="2">
                  <c:v>Centru</c:v>
                </c:pt>
                <c:pt idx="3">
                  <c:v>Sud</c:v>
                </c:pt>
              </c:strCache>
            </c:strRef>
          </c:cat>
          <c:val>
            <c:numRef>
              <c:f>'[lucru raport 2021 (1).xlsx]6_PO_Activitati economice'!$B$103:$E$103</c:f>
              <c:numCache>
                <c:formatCode>General</c:formatCode>
                <c:ptCount val="4"/>
                <c:pt idx="0">
                  <c:v>75.3</c:v>
                </c:pt>
                <c:pt idx="1">
                  <c:v>40.299999999999997</c:v>
                </c:pt>
                <c:pt idx="2">
                  <c:v>56.7</c:v>
                </c:pt>
                <c:pt idx="3">
                  <c:v>55.5</c:v>
                </c:pt>
              </c:numCache>
            </c:numRef>
          </c:val>
          <c:extLst>
            <c:ext xmlns:c16="http://schemas.microsoft.com/office/drawing/2014/chart" uri="{C3380CC4-5D6E-409C-BE32-E72D297353CC}">
              <c16:uniqueId val="{00000003-981D-4B37-BEAB-CC3B84143786}"/>
            </c:ext>
          </c:extLst>
        </c:ser>
        <c:dLbls>
          <c:showLegendKey val="0"/>
          <c:showVal val="0"/>
          <c:showCatName val="0"/>
          <c:showSerName val="0"/>
          <c:showPercent val="0"/>
          <c:showBubbleSize val="0"/>
        </c:dLbls>
        <c:gapWidth val="150"/>
        <c:axId val="92882432"/>
        <c:axId val="92883968"/>
      </c:barChart>
      <c:catAx>
        <c:axId val="92882432"/>
        <c:scaling>
          <c:orientation val="minMax"/>
        </c:scaling>
        <c:delete val="0"/>
        <c:axPos val="b"/>
        <c:numFmt formatCode="General" sourceLinked="0"/>
        <c:majorTickMark val="out"/>
        <c:minorTickMark val="none"/>
        <c:tickLblPos val="nextTo"/>
        <c:crossAx val="92883968"/>
        <c:crosses val="autoZero"/>
        <c:auto val="1"/>
        <c:lblAlgn val="ctr"/>
        <c:lblOffset val="100"/>
        <c:noMultiLvlLbl val="0"/>
      </c:catAx>
      <c:valAx>
        <c:axId val="92883968"/>
        <c:scaling>
          <c:orientation val="minMax"/>
        </c:scaling>
        <c:delete val="0"/>
        <c:axPos val="l"/>
        <c:majorGridlines/>
        <c:numFmt formatCode="General" sourceLinked="1"/>
        <c:majorTickMark val="out"/>
        <c:minorTickMark val="none"/>
        <c:tickLblPos val="nextTo"/>
        <c:crossAx val="92882432"/>
        <c:crosses val="autoZero"/>
        <c:crossBetween val="between"/>
      </c:valAx>
    </c:plotArea>
    <c:legend>
      <c:legendPos val="b"/>
      <c:overlay val="0"/>
      <c:txPr>
        <a:bodyPr/>
        <a:lstStyle/>
        <a:p>
          <a:pPr>
            <a:defRPr sz="700"/>
          </a:pPr>
          <a:endParaRPr lang="ro-MD"/>
        </a:p>
      </c:txPr>
    </c:legend>
    <c:plotVisOnly val="1"/>
    <c:dispBlanksAs val="gap"/>
    <c:showDLblsOverMax val="0"/>
  </c:chart>
  <c:spPr>
    <a:ln w="9525">
      <a:solidFill>
        <a:schemeClr val="tx1">
          <a:lumMod val="95000"/>
          <a:lumOff val="5000"/>
        </a:schemeClr>
      </a:solidFill>
    </a:ln>
  </c:spPr>
  <c:txPr>
    <a:bodyPr/>
    <a:lstStyle/>
    <a:p>
      <a:pPr>
        <a:defRPr sz="800">
          <a:latin typeface="Times New Roman" panose="02020603050405020304" pitchFamily="18" charset="0"/>
          <a:cs typeface="Times New Roman" panose="02020603050405020304" pitchFamily="18" charset="0"/>
        </a:defRPr>
      </a:pPr>
      <a:endParaRPr lang="ro-MD"/>
    </a:p>
  </c:txPr>
  <c:externalData r:id="rId2">
    <c:autoUpdate val="0"/>
  </c:externalData>
  <c:userShapes r:id="rId3"/>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'[lucru raport 2023 (1).xlsx]6_PO_Activitati economice'!$A$100</c:f>
              <c:strCache>
                <c:ptCount val="1"/>
                <c:pt idx="0">
                  <c:v>Agricultură, silvicultură şi pescuit</c:v>
                </c:pt>
              </c:strCache>
            </c:strRef>
          </c:tx>
          <c:invertIfNegative val="0"/>
          <c:dLbls>
            <c:spPr>
              <a:noFill/>
              <a:ln>
                <a:noFill/>
              </a:ln>
              <a:effectLst/>
            </c:spPr>
            <c:txPr>
              <a:bodyPr wrap="square" lIns="38100" tIns="19050" rIns="38100" bIns="19050" anchor="ctr">
                <a:spAutoFit/>
              </a:bodyPr>
              <a:lstStyle/>
              <a:p>
                <a:pPr>
                  <a:defRPr sz="700">
                    <a:solidFill>
                      <a:srgbClr val="0070C0"/>
                    </a:solidFill>
                    <a:latin typeface="Times New Roman" panose="02020603050405020304" pitchFamily="18" charset="0"/>
                    <a:cs typeface="Times New Roman" panose="02020603050405020304" pitchFamily="18" charset="0"/>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'[lucru raport 2023 (1).xlsx]6_PO_Activitati economice'!$B$99:$E$99</c:f>
              <c:strCache>
                <c:ptCount val="4"/>
                <c:pt idx="0">
                  <c:v>mun. Chişinău</c:v>
                </c:pt>
                <c:pt idx="1">
                  <c:v>Nord</c:v>
                </c:pt>
                <c:pt idx="2">
                  <c:v>Centru</c:v>
                </c:pt>
                <c:pt idx="3">
                  <c:v>Sud</c:v>
                </c:pt>
              </c:strCache>
            </c:strRef>
          </c:cat>
          <c:val>
            <c:numRef>
              <c:f>'[lucru raport 2023 (1).xlsx]6_PO_Activitati economice'!$B$100:$E$100</c:f>
              <c:numCache>
                <c:formatCode>General</c:formatCode>
                <c:ptCount val="4"/>
                <c:pt idx="0">
                  <c:v>1.2</c:v>
                </c:pt>
                <c:pt idx="1">
                  <c:v>41.6</c:v>
                </c:pt>
                <c:pt idx="2">
                  <c:v>18.2</c:v>
                </c:pt>
                <c:pt idx="3" formatCode="0.0">
                  <c:v>23.7</c:v>
                </c:pt>
              </c:numCache>
            </c:numRef>
          </c:val>
          <c:extLst>
            <c:ext xmlns:c16="http://schemas.microsoft.com/office/drawing/2014/chart" uri="{C3380CC4-5D6E-409C-BE32-E72D297353CC}">
              <c16:uniqueId val="{00000000-21F7-4FEA-AF83-184DD9B5F4C6}"/>
            </c:ext>
          </c:extLst>
        </c:ser>
        <c:ser>
          <c:idx val="1"/>
          <c:order val="1"/>
          <c:tx>
            <c:strRef>
              <c:f>'[lucru raport 2023 (1).xlsx]6_PO_Activitati economice'!$A$101</c:f>
              <c:strCache>
                <c:ptCount val="1"/>
                <c:pt idx="0">
                  <c:v>Industrie</c:v>
                </c:pt>
              </c:strCache>
            </c:strRef>
          </c:tx>
          <c:invertIfNegative val="0"/>
          <c:dLbls>
            <c:spPr>
              <a:noFill/>
              <a:ln>
                <a:noFill/>
              </a:ln>
              <a:effectLst/>
            </c:spPr>
            <c:txPr>
              <a:bodyPr wrap="square" lIns="38100" tIns="19050" rIns="38100" bIns="19050" anchor="ctr">
                <a:spAutoFit/>
              </a:bodyPr>
              <a:lstStyle/>
              <a:p>
                <a:pPr>
                  <a:defRPr sz="700">
                    <a:solidFill>
                      <a:srgbClr val="C00000"/>
                    </a:solidFill>
                    <a:latin typeface="Times New Roman" panose="02020603050405020304" pitchFamily="18" charset="0"/>
                    <a:cs typeface="Times New Roman" panose="02020603050405020304" pitchFamily="18" charset="0"/>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'[lucru raport 2023 (1).xlsx]6_PO_Activitati economice'!$B$99:$E$99</c:f>
              <c:strCache>
                <c:ptCount val="4"/>
                <c:pt idx="0">
                  <c:v>mun. Chişinău</c:v>
                </c:pt>
                <c:pt idx="1">
                  <c:v>Nord</c:v>
                </c:pt>
                <c:pt idx="2">
                  <c:v>Centru</c:v>
                </c:pt>
                <c:pt idx="3">
                  <c:v>Sud</c:v>
                </c:pt>
              </c:strCache>
            </c:strRef>
          </c:cat>
          <c:val>
            <c:numRef>
              <c:f>'[lucru raport 2023 (1).xlsx]6_PO_Activitati economice'!$B$101:$E$101</c:f>
              <c:numCache>
                <c:formatCode>General</c:formatCode>
                <c:ptCount val="4"/>
                <c:pt idx="0">
                  <c:v>14.6</c:v>
                </c:pt>
                <c:pt idx="1">
                  <c:v>12.4</c:v>
                </c:pt>
                <c:pt idx="2">
                  <c:v>18</c:v>
                </c:pt>
                <c:pt idx="3">
                  <c:v>11.9</c:v>
                </c:pt>
              </c:numCache>
            </c:numRef>
          </c:val>
          <c:extLst>
            <c:ext xmlns:c16="http://schemas.microsoft.com/office/drawing/2014/chart" uri="{C3380CC4-5D6E-409C-BE32-E72D297353CC}">
              <c16:uniqueId val="{00000001-21F7-4FEA-AF83-184DD9B5F4C6}"/>
            </c:ext>
          </c:extLst>
        </c:ser>
        <c:ser>
          <c:idx val="2"/>
          <c:order val="2"/>
          <c:tx>
            <c:strRef>
              <c:f>'[lucru raport 2023 (1).xlsx]6_PO_Activitati economice'!$A$102</c:f>
              <c:strCache>
                <c:ptCount val="1"/>
                <c:pt idx="0">
                  <c:v>Construcţii</c:v>
                </c:pt>
              </c:strCache>
            </c:strRef>
          </c:tx>
          <c:invertIfNegative val="0"/>
          <c:dLbls>
            <c:spPr>
              <a:noFill/>
              <a:ln>
                <a:noFill/>
              </a:ln>
              <a:effectLst/>
            </c:spPr>
            <c:txPr>
              <a:bodyPr wrap="square" lIns="38100" tIns="19050" rIns="38100" bIns="19050" anchor="ctr">
                <a:spAutoFit/>
              </a:bodyPr>
              <a:lstStyle/>
              <a:p>
                <a:pPr>
                  <a:defRPr sz="700">
                    <a:solidFill>
                      <a:srgbClr val="00B050"/>
                    </a:solidFill>
                    <a:latin typeface="Times New Roman" panose="02020603050405020304" pitchFamily="18" charset="0"/>
                    <a:cs typeface="Times New Roman" panose="02020603050405020304" pitchFamily="18" charset="0"/>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'[lucru raport 2023 (1).xlsx]6_PO_Activitati economice'!$B$99:$E$99</c:f>
              <c:strCache>
                <c:ptCount val="4"/>
                <c:pt idx="0">
                  <c:v>mun. Chişinău</c:v>
                </c:pt>
                <c:pt idx="1">
                  <c:v>Nord</c:v>
                </c:pt>
                <c:pt idx="2">
                  <c:v>Centru</c:v>
                </c:pt>
                <c:pt idx="3">
                  <c:v>Sud</c:v>
                </c:pt>
              </c:strCache>
            </c:strRef>
          </c:cat>
          <c:val>
            <c:numRef>
              <c:f>'[lucru raport 2023 (1).xlsx]6_PO_Activitati economice'!$B$102:$E$102</c:f>
              <c:numCache>
                <c:formatCode>General</c:formatCode>
                <c:ptCount val="4"/>
                <c:pt idx="0" formatCode="0.0">
                  <c:v>7</c:v>
                </c:pt>
                <c:pt idx="1">
                  <c:v>5.0999999999999996</c:v>
                </c:pt>
                <c:pt idx="2">
                  <c:v>9.8000000000000007</c:v>
                </c:pt>
                <c:pt idx="3">
                  <c:v>6.9</c:v>
                </c:pt>
              </c:numCache>
            </c:numRef>
          </c:val>
          <c:extLst>
            <c:ext xmlns:c16="http://schemas.microsoft.com/office/drawing/2014/chart" uri="{C3380CC4-5D6E-409C-BE32-E72D297353CC}">
              <c16:uniqueId val="{00000002-21F7-4FEA-AF83-184DD9B5F4C6}"/>
            </c:ext>
          </c:extLst>
        </c:ser>
        <c:ser>
          <c:idx val="3"/>
          <c:order val="3"/>
          <c:tx>
            <c:strRef>
              <c:f>'[lucru raport 2023 (1).xlsx]6_PO_Activitati economice'!$A$103</c:f>
              <c:strCache>
                <c:ptCount val="1"/>
                <c:pt idx="0">
                  <c:v>Servicii</c:v>
                </c:pt>
              </c:strCache>
            </c:strRef>
          </c:tx>
          <c:invertIfNegative val="0"/>
          <c:dLbls>
            <c:spPr>
              <a:noFill/>
              <a:ln>
                <a:noFill/>
              </a:ln>
              <a:effectLst/>
            </c:spPr>
            <c:txPr>
              <a:bodyPr wrap="square" lIns="38100" tIns="19050" rIns="38100" bIns="19050" anchor="ctr">
                <a:spAutoFit/>
              </a:bodyPr>
              <a:lstStyle/>
              <a:p>
                <a:pPr>
                  <a:defRPr sz="700">
                    <a:solidFill>
                      <a:srgbClr val="7030A0"/>
                    </a:solidFill>
                    <a:latin typeface="Times New Roman" panose="02020603050405020304" pitchFamily="18" charset="0"/>
                    <a:cs typeface="Times New Roman" panose="02020603050405020304" pitchFamily="18" charset="0"/>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'[lucru raport 2023 (1).xlsx]6_PO_Activitati economice'!$B$99:$E$99</c:f>
              <c:strCache>
                <c:ptCount val="4"/>
                <c:pt idx="0">
                  <c:v>mun. Chişinău</c:v>
                </c:pt>
                <c:pt idx="1">
                  <c:v>Nord</c:v>
                </c:pt>
                <c:pt idx="2">
                  <c:v>Centru</c:v>
                </c:pt>
                <c:pt idx="3">
                  <c:v>Sud</c:v>
                </c:pt>
              </c:strCache>
            </c:strRef>
          </c:cat>
          <c:val>
            <c:numRef>
              <c:f>'[lucru raport 2023 (1).xlsx]6_PO_Activitati economice'!$B$103:$E$103</c:f>
              <c:numCache>
                <c:formatCode>General</c:formatCode>
                <c:ptCount val="4"/>
                <c:pt idx="0">
                  <c:v>77.099999999999994</c:v>
                </c:pt>
                <c:pt idx="1">
                  <c:v>40.6</c:v>
                </c:pt>
                <c:pt idx="2">
                  <c:v>53.9</c:v>
                </c:pt>
                <c:pt idx="3">
                  <c:v>57.3</c:v>
                </c:pt>
              </c:numCache>
            </c:numRef>
          </c:val>
          <c:extLst>
            <c:ext xmlns:c16="http://schemas.microsoft.com/office/drawing/2014/chart" uri="{C3380CC4-5D6E-409C-BE32-E72D297353CC}">
              <c16:uniqueId val="{00000003-21F7-4FEA-AF83-184DD9B5F4C6}"/>
            </c:ext>
          </c:extLst>
        </c:ser>
        <c:dLbls>
          <c:showLegendKey val="0"/>
          <c:showVal val="0"/>
          <c:showCatName val="0"/>
          <c:showSerName val="0"/>
          <c:showPercent val="0"/>
          <c:showBubbleSize val="0"/>
        </c:dLbls>
        <c:gapWidth val="150"/>
        <c:axId val="92882432"/>
        <c:axId val="92883968"/>
      </c:barChart>
      <c:catAx>
        <c:axId val="92882432"/>
        <c:scaling>
          <c:orientation val="minMax"/>
        </c:scaling>
        <c:delete val="0"/>
        <c:axPos val="b"/>
        <c:numFmt formatCode="General" sourceLinked="0"/>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ro-MD"/>
          </a:p>
        </c:txPr>
        <c:crossAx val="92883968"/>
        <c:crosses val="autoZero"/>
        <c:auto val="1"/>
        <c:lblAlgn val="ctr"/>
        <c:lblOffset val="100"/>
        <c:noMultiLvlLbl val="0"/>
      </c:catAx>
      <c:valAx>
        <c:axId val="92883968"/>
        <c:scaling>
          <c:orientation val="minMax"/>
          <c:max val="80"/>
        </c:scaling>
        <c:delete val="0"/>
        <c:axPos val="l"/>
        <c:majorGridlines/>
        <c:numFmt formatCode="General"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ro-MD"/>
          </a:p>
        </c:txPr>
        <c:crossAx val="92882432"/>
        <c:crosses val="autoZero"/>
        <c:crossBetween val="between"/>
      </c:valAx>
    </c:plotArea>
    <c:legend>
      <c:legendPos val="b"/>
      <c:overlay val="0"/>
      <c:txPr>
        <a:bodyPr/>
        <a:lstStyle/>
        <a:p>
          <a:pPr>
            <a:defRPr sz="700">
              <a:latin typeface="Times New Roman" panose="02020603050405020304" pitchFamily="18" charset="0"/>
              <a:cs typeface="Times New Roman" panose="02020603050405020304" pitchFamily="18" charset="0"/>
            </a:defRPr>
          </a:pPr>
          <a:endParaRPr lang="ro-MD"/>
        </a:p>
      </c:txPr>
    </c:legend>
    <c:plotVisOnly val="1"/>
    <c:dispBlanksAs val="gap"/>
    <c:showDLblsOverMax val="0"/>
  </c:chart>
  <c:spPr>
    <a:ln w="9525">
      <a:solidFill>
        <a:schemeClr val="tx1"/>
      </a:solidFill>
    </a:ln>
  </c:spPr>
  <c:externalData r:id="rId2">
    <c:autoUpdate val="0"/>
  </c:externalData>
  <c:userShapes r:id="rId3"/>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'[lucru raport 2021 (1).xlsx]1-2_Evolutia Indicat.Principali'!$L$40</c:f>
              <c:strCache>
                <c:ptCount val="1"/>
                <c:pt idx="0">
                  <c:v>2022</c:v>
                </c:pt>
              </c:strCache>
            </c:strRef>
          </c:tx>
          <c:invertIfNegative val="0"/>
          <c:dLbls>
            <c:dLbl>
              <c:idx val="0"/>
              <c:layout>
                <c:manualLayout>
                  <c:x val="-8.353055826256452E-3"/>
                  <c:y val="2.31481481481481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8FF-4E48-81EC-C57349FECBAD}"/>
                </c:ext>
              </c:extLst>
            </c:dLbl>
            <c:dLbl>
              <c:idx val="2"/>
              <c:layout>
                <c:manualLayout>
                  <c:x val="-8.3530558262564902E-3"/>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8FF-4E48-81EC-C57349FECBAD}"/>
                </c:ext>
              </c:extLst>
            </c:dLbl>
            <c:dLbl>
              <c:idx val="4"/>
              <c:layout>
                <c:manualLayout>
                  <c:x val="0"/>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8FF-4E48-81EC-C57349FECBAD}"/>
                </c:ext>
              </c:extLst>
            </c:dLbl>
            <c:spPr>
              <a:noFill/>
              <a:ln>
                <a:noFill/>
              </a:ln>
              <a:effectLst/>
            </c:spPr>
            <c:txPr>
              <a:bodyPr/>
              <a:lstStyle/>
              <a:p>
                <a:pPr>
                  <a:defRPr sz="800" b="1" i="0" baseline="0">
                    <a:solidFill>
                      <a:schemeClr val="tx2"/>
                    </a:solidFill>
                    <a:latin typeface="Times New Roman" pitchFamily="18" charset="0"/>
                    <a:cs typeface="Times New Roman" pitchFamily="18" charset="0"/>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'[lucru raport 2021 (1).xlsx]1-2_Evolutia Indicat.Principali'!$K$41:$K$45</c:f>
              <c:strCache>
                <c:ptCount val="5"/>
                <c:pt idx="0">
                  <c:v>Superior</c:v>
                </c:pt>
                <c:pt idx="1">
                  <c:v>Mediu de specialitate</c:v>
                </c:pt>
                <c:pt idx="2">
                  <c:v>Secundar profesional</c:v>
                </c:pt>
                <c:pt idx="3">
                  <c:v>Liceal,mediu general</c:v>
                </c:pt>
                <c:pt idx="4">
                  <c:v>Gimnazial</c:v>
                </c:pt>
              </c:strCache>
            </c:strRef>
          </c:cat>
          <c:val>
            <c:numRef>
              <c:f>'[lucru raport 2021 (1).xlsx]1-2_Evolutia Indicat.Principali'!$L$41:$L$45</c:f>
              <c:numCache>
                <c:formatCode>0.0</c:formatCode>
                <c:ptCount val="5"/>
                <c:pt idx="0" formatCode="General">
                  <c:v>28.3</c:v>
                </c:pt>
                <c:pt idx="1">
                  <c:v>14</c:v>
                </c:pt>
                <c:pt idx="2">
                  <c:v>23.1</c:v>
                </c:pt>
                <c:pt idx="3">
                  <c:v>16</c:v>
                </c:pt>
                <c:pt idx="4">
                  <c:v>18.399999999999999</c:v>
                </c:pt>
              </c:numCache>
            </c:numRef>
          </c:val>
          <c:extLst>
            <c:ext xmlns:c16="http://schemas.microsoft.com/office/drawing/2014/chart" uri="{C3380CC4-5D6E-409C-BE32-E72D297353CC}">
              <c16:uniqueId val="{00000000-214B-4617-AF9E-B36FDB7BB2E8}"/>
            </c:ext>
          </c:extLst>
        </c:ser>
        <c:ser>
          <c:idx val="1"/>
          <c:order val="1"/>
          <c:tx>
            <c:strRef>
              <c:f>'[lucru raport 2021 (1).xlsx]1-2_Evolutia Indicat.Principali'!$M$40</c:f>
              <c:strCache>
                <c:ptCount val="1"/>
                <c:pt idx="0">
                  <c:v>2023</c:v>
                </c:pt>
              </c:strCache>
            </c:strRef>
          </c:tx>
          <c:invertIfNegative val="0"/>
          <c:dLbls>
            <c:dLbl>
              <c:idx val="0"/>
              <c:layout>
                <c:manualLayout>
                  <c:x val="2.7843519420854795E-3"/>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8FF-4E48-81EC-C57349FECBAD}"/>
                </c:ext>
              </c:extLst>
            </c:dLbl>
            <c:dLbl>
              <c:idx val="2"/>
              <c:layout>
                <c:manualLayout>
                  <c:x val="-1.0209172517081326E-16"/>
                  <c:y val="1.38888888888888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8FF-4E48-81EC-C57349FECBAD}"/>
                </c:ext>
              </c:extLst>
            </c:dLbl>
            <c:dLbl>
              <c:idx val="4"/>
              <c:layout>
                <c:manualLayout>
                  <c:x val="1.111111111111111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4B-4617-AF9E-B36FDB7BB2E8}"/>
                </c:ext>
              </c:extLst>
            </c:dLbl>
            <c:spPr>
              <a:noFill/>
              <a:ln>
                <a:noFill/>
              </a:ln>
              <a:effectLst/>
            </c:spPr>
            <c:txPr>
              <a:bodyPr/>
              <a:lstStyle/>
              <a:p>
                <a:pPr>
                  <a:defRPr sz="800" b="1" i="0" baseline="0">
                    <a:solidFill>
                      <a:srgbClr val="C00000"/>
                    </a:solidFill>
                    <a:latin typeface="Times New Roman" pitchFamily="18" charset="0"/>
                    <a:cs typeface="Times New Roman" pitchFamily="18" charset="0"/>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'[lucru raport 2021 (1).xlsx]1-2_Evolutia Indicat.Principali'!$K$41:$K$45</c:f>
              <c:strCache>
                <c:ptCount val="5"/>
                <c:pt idx="0">
                  <c:v>Superior</c:v>
                </c:pt>
                <c:pt idx="1">
                  <c:v>Mediu de specialitate</c:v>
                </c:pt>
                <c:pt idx="2">
                  <c:v>Secundar profesional</c:v>
                </c:pt>
                <c:pt idx="3">
                  <c:v>Liceal,mediu general</c:v>
                </c:pt>
                <c:pt idx="4">
                  <c:v>Gimnazial</c:v>
                </c:pt>
              </c:strCache>
            </c:strRef>
          </c:cat>
          <c:val>
            <c:numRef>
              <c:f>'[lucru raport 2021 (1).xlsx]1-2_Evolutia Indicat.Principali'!$M$41:$M$45</c:f>
              <c:numCache>
                <c:formatCode>General</c:formatCode>
                <c:ptCount val="5"/>
                <c:pt idx="0">
                  <c:v>27.6</c:v>
                </c:pt>
                <c:pt idx="1">
                  <c:v>14.2</c:v>
                </c:pt>
                <c:pt idx="2" formatCode="0.0">
                  <c:v>22.6</c:v>
                </c:pt>
                <c:pt idx="3" formatCode="0.0">
                  <c:v>15.7</c:v>
                </c:pt>
                <c:pt idx="4" formatCode="0.0">
                  <c:v>19.899999999999999</c:v>
                </c:pt>
              </c:numCache>
            </c:numRef>
          </c:val>
          <c:extLst>
            <c:ext xmlns:c16="http://schemas.microsoft.com/office/drawing/2014/chart" uri="{C3380CC4-5D6E-409C-BE32-E72D297353CC}">
              <c16:uniqueId val="{00000002-214B-4617-AF9E-B36FDB7BB2E8}"/>
            </c:ext>
          </c:extLst>
        </c:ser>
        <c:dLbls>
          <c:showLegendKey val="0"/>
          <c:showVal val="0"/>
          <c:showCatName val="0"/>
          <c:showSerName val="0"/>
          <c:showPercent val="0"/>
          <c:showBubbleSize val="0"/>
        </c:dLbls>
        <c:gapWidth val="150"/>
        <c:axId val="90855680"/>
        <c:axId val="90865664"/>
      </c:barChart>
      <c:catAx>
        <c:axId val="90855680"/>
        <c:scaling>
          <c:orientation val="minMax"/>
        </c:scaling>
        <c:delete val="0"/>
        <c:axPos val="b"/>
        <c:numFmt formatCode="General" sourceLinked="0"/>
        <c:majorTickMark val="out"/>
        <c:minorTickMark val="none"/>
        <c:tickLblPos val="nextTo"/>
        <c:txPr>
          <a:bodyPr/>
          <a:lstStyle/>
          <a:p>
            <a:pPr>
              <a:defRPr sz="800" b="1" i="0" baseline="0">
                <a:latin typeface="Times New Roman" pitchFamily="18" charset="0"/>
                <a:cs typeface="Times New Roman" pitchFamily="18" charset="0"/>
              </a:defRPr>
            </a:pPr>
            <a:endParaRPr lang="ro-MD"/>
          </a:p>
        </c:txPr>
        <c:crossAx val="90865664"/>
        <c:crosses val="autoZero"/>
        <c:auto val="1"/>
        <c:lblAlgn val="ctr"/>
        <c:lblOffset val="100"/>
        <c:noMultiLvlLbl val="0"/>
      </c:catAx>
      <c:valAx>
        <c:axId val="90865664"/>
        <c:scaling>
          <c:orientation val="minMax"/>
        </c:scaling>
        <c:delete val="0"/>
        <c:axPos val="l"/>
        <c:majorGridlines/>
        <c:numFmt formatCode="General" sourceLinked="1"/>
        <c:majorTickMark val="out"/>
        <c:minorTickMark val="none"/>
        <c:tickLblPos val="nextTo"/>
        <c:txPr>
          <a:bodyPr/>
          <a:lstStyle/>
          <a:p>
            <a:pPr>
              <a:defRPr sz="900" b="1" i="0" baseline="0">
                <a:latin typeface="Times New Roman" panose="02020603050405020304" pitchFamily="18" charset="0"/>
                <a:cs typeface="Times New Roman" panose="02020603050405020304" pitchFamily="18" charset="0"/>
              </a:defRPr>
            </a:pPr>
            <a:endParaRPr lang="ro-MD"/>
          </a:p>
        </c:txPr>
        <c:crossAx val="90855680"/>
        <c:crosses val="autoZero"/>
        <c:crossBetween val="between"/>
      </c:valAx>
    </c:plotArea>
    <c:legend>
      <c:legendPos val="b"/>
      <c:legendEntry>
        <c:idx val="0"/>
        <c:txPr>
          <a:bodyPr/>
          <a:lstStyle/>
          <a:p>
            <a:pPr>
              <a:defRPr sz="900" b="1" i="0" baseline="0">
                <a:solidFill>
                  <a:schemeClr val="tx2"/>
                </a:solidFill>
                <a:latin typeface="Times New Roman" panose="02020603050405020304" pitchFamily="18" charset="0"/>
                <a:cs typeface="Times New Roman" panose="02020603050405020304" pitchFamily="18" charset="0"/>
              </a:defRPr>
            </a:pPr>
            <a:endParaRPr lang="ro-MD"/>
          </a:p>
        </c:txPr>
      </c:legendEntry>
      <c:legendEntry>
        <c:idx val="1"/>
        <c:txPr>
          <a:bodyPr/>
          <a:lstStyle/>
          <a:p>
            <a:pPr>
              <a:defRPr sz="900" b="1" i="0" baseline="0">
                <a:solidFill>
                  <a:srgbClr val="C00000"/>
                </a:solidFill>
                <a:latin typeface="Times New Roman" panose="02020603050405020304" pitchFamily="18" charset="0"/>
                <a:cs typeface="Times New Roman" panose="02020603050405020304" pitchFamily="18" charset="0"/>
              </a:defRPr>
            </a:pPr>
            <a:endParaRPr lang="ro-MD"/>
          </a:p>
        </c:txPr>
      </c:legendEntry>
      <c:overlay val="0"/>
      <c:txPr>
        <a:bodyPr/>
        <a:lstStyle/>
        <a:p>
          <a:pPr>
            <a:defRPr sz="1000">
              <a:latin typeface="Times New Roman" panose="02020603050405020304" pitchFamily="18" charset="0"/>
              <a:cs typeface="Times New Roman" panose="02020603050405020304" pitchFamily="18" charset="0"/>
            </a:defRPr>
          </a:pPr>
          <a:endParaRPr lang="ro-MD"/>
        </a:p>
      </c:txPr>
    </c:legend>
    <c:plotVisOnly val="1"/>
    <c:dispBlanksAs val="gap"/>
    <c:showDLblsOverMax val="0"/>
  </c:chart>
  <c:spPr>
    <a:ln>
      <a:solidFill>
        <a:schemeClr val="tx1"/>
      </a:solidFill>
    </a:ln>
  </c:sp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'[ultimul excel xlsx.xlsx]mun020100'!$C$41</c:f>
              <c:strCache>
                <c:ptCount val="1"/>
                <c:pt idx="0">
                  <c:v>2022</c:v>
                </c:pt>
              </c:strCache>
            </c:strRef>
          </c:tx>
          <c:invertIfNegative val="0"/>
          <c:dLbls>
            <c:dLbl>
              <c:idx val="0"/>
              <c:layout>
                <c:manualLayout>
                  <c:x val="-8.4566596194503296E-3"/>
                  <c:y val="1.56862745098039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0F4-49E1-85C4-46FECFC7D373}"/>
                </c:ext>
              </c:extLst>
            </c:dLbl>
            <c:dLbl>
              <c:idx val="1"/>
              <c:layout>
                <c:manualLayout>
                  <c:x val="-2.8188865398167725E-3"/>
                  <c:y val="2.61437908496732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0F4-49E1-85C4-46FECFC7D373}"/>
                </c:ext>
              </c:extLst>
            </c:dLbl>
            <c:dLbl>
              <c:idx val="2"/>
              <c:layout>
                <c:manualLayout>
                  <c:x val="-1.0335797912642024E-16"/>
                  <c:y val="1.56862745098039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0F4-49E1-85C4-46FECFC7D373}"/>
                </c:ext>
              </c:extLst>
            </c:dLbl>
            <c:dLbl>
              <c:idx val="3"/>
              <c:layout>
                <c:manualLayout>
                  <c:x val="-1.0335797912642024E-16"/>
                  <c:y val="2.61437908496731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0F4-49E1-85C4-46FECFC7D373}"/>
                </c:ext>
              </c:extLst>
            </c:dLbl>
            <c:spPr>
              <a:noFill/>
              <a:ln>
                <a:noFill/>
              </a:ln>
              <a:effectLst/>
            </c:spPr>
            <c:txPr>
              <a:bodyPr wrap="square" lIns="38100" tIns="19050" rIns="38100" bIns="19050" anchor="ctr">
                <a:spAutoFit/>
              </a:bodyPr>
              <a:lstStyle/>
              <a:p>
                <a:pPr>
                  <a:defRPr sz="900" b="1" i="0" baseline="0">
                    <a:solidFill>
                      <a:schemeClr val="tx2"/>
                    </a:solidFill>
                    <a:latin typeface="Times New Roman" panose="02020603050405020304" pitchFamily="18" charset="0"/>
                    <a:cs typeface="Times New Roman" panose="02020603050405020304" pitchFamily="18" charset="0"/>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'[ultimul excel xlsx.xlsx]mun020100'!$B$42:$B$46</c:f>
              <c:strCache>
                <c:ptCount val="5"/>
                <c:pt idx="0">
                  <c:v>Superior</c:v>
                </c:pt>
                <c:pt idx="1">
                  <c:v>Mediu de specialitate</c:v>
                </c:pt>
                <c:pt idx="2">
                  <c:v>Secundar profesional</c:v>
                </c:pt>
                <c:pt idx="3">
                  <c:v>Liceal, mediu general</c:v>
                </c:pt>
                <c:pt idx="4">
                  <c:v>Gimnazial</c:v>
                </c:pt>
              </c:strCache>
            </c:strRef>
          </c:cat>
          <c:val>
            <c:numRef>
              <c:f>'[ultimul excel xlsx.xlsx]mun020100'!$C$42:$C$46</c:f>
              <c:numCache>
                <c:formatCode>0.0</c:formatCode>
                <c:ptCount val="5"/>
                <c:pt idx="0">
                  <c:v>4.8</c:v>
                </c:pt>
                <c:pt idx="1">
                  <c:v>3.2</c:v>
                </c:pt>
                <c:pt idx="2">
                  <c:v>6.8</c:v>
                </c:pt>
                <c:pt idx="3">
                  <c:v>5</c:v>
                </c:pt>
                <c:pt idx="4">
                  <c:v>7.7</c:v>
                </c:pt>
              </c:numCache>
            </c:numRef>
          </c:val>
          <c:extLst>
            <c:ext xmlns:c16="http://schemas.microsoft.com/office/drawing/2014/chart" uri="{C3380CC4-5D6E-409C-BE32-E72D297353CC}">
              <c16:uniqueId val="{00000000-5DC4-406C-8472-93718C7710F8}"/>
            </c:ext>
          </c:extLst>
        </c:ser>
        <c:ser>
          <c:idx val="1"/>
          <c:order val="1"/>
          <c:tx>
            <c:strRef>
              <c:f>'[ultimul excel xlsx.xlsx]mun020100'!$D$41</c:f>
              <c:strCache>
                <c:ptCount val="1"/>
                <c:pt idx="0">
                  <c:v>2023</c:v>
                </c:pt>
              </c:strCache>
            </c:strRef>
          </c:tx>
          <c:invertIfNegative val="0"/>
          <c:dLbls>
            <c:dLbl>
              <c:idx val="0"/>
              <c:layout>
                <c:manualLayout>
                  <c:x val="-2.583949478160506E-17"/>
                  <c:y val="2.09150326797385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0F4-49E1-85C4-46FECFC7D373}"/>
                </c:ext>
              </c:extLst>
            </c:dLbl>
            <c:dLbl>
              <c:idx val="1"/>
              <c:layout>
                <c:manualLayout>
                  <c:x val="0"/>
                  <c:y val="-1.5686274509803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0F4-49E1-85C4-46FECFC7D373}"/>
                </c:ext>
              </c:extLst>
            </c:dLbl>
            <c:dLbl>
              <c:idx val="3"/>
              <c:layout>
                <c:manualLayout>
                  <c:x val="-1.0335797912642024E-16"/>
                  <c:y val="1.56862745098039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0F4-49E1-85C4-46FECFC7D373}"/>
                </c:ext>
              </c:extLst>
            </c:dLbl>
            <c:dLbl>
              <c:idx val="4"/>
              <c:layout>
                <c:manualLayout>
                  <c:x val="-1.0335797912642024E-16"/>
                  <c:y val="2.0915032679738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0F4-49E1-85C4-46FECFC7D373}"/>
                </c:ext>
              </c:extLst>
            </c:dLbl>
            <c:spPr>
              <a:noFill/>
              <a:ln>
                <a:noFill/>
              </a:ln>
              <a:effectLst/>
            </c:spPr>
            <c:txPr>
              <a:bodyPr wrap="square" lIns="38100" tIns="19050" rIns="38100" bIns="19050" anchor="ctr">
                <a:spAutoFit/>
              </a:bodyPr>
              <a:lstStyle/>
              <a:p>
                <a:pPr>
                  <a:defRPr sz="800" b="1" i="0" baseline="0">
                    <a:solidFill>
                      <a:srgbClr val="C00000"/>
                    </a:solidFill>
                    <a:latin typeface="Times New Roman" panose="02020603050405020304" pitchFamily="18" charset="0"/>
                    <a:cs typeface="Times New Roman" panose="02020603050405020304" pitchFamily="18" charset="0"/>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'[ultimul excel xlsx.xlsx]mun020100'!$B$42:$B$46</c:f>
              <c:strCache>
                <c:ptCount val="5"/>
                <c:pt idx="0">
                  <c:v>Superior</c:v>
                </c:pt>
                <c:pt idx="1">
                  <c:v>Mediu de specialitate</c:v>
                </c:pt>
                <c:pt idx="2">
                  <c:v>Secundar profesional</c:v>
                </c:pt>
                <c:pt idx="3">
                  <c:v>Liceal, mediu general</c:v>
                </c:pt>
                <c:pt idx="4">
                  <c:v>Gimnazial</c:v>
                </c:pt>
              </c:strCache>
            </c:strRef>
          </c:cat>
          <c:val>
            <c:numRef>
              <c:f>'[ultimul excel xlsx.xlsx]mun020100'!$D$42:$D$46</c:f>
              <c:numCache>
                <c:formatCode>0.0</c:formatCode>
                <c:ptCount val="5"/>
                <c:pt idx="0">
                  <c:v>7.1</c:v>
                </c:pt>
                <c:pt idx="1">
                  <c:v>5.5</c:v>
                </c:pt>
                <c:pt idx="2">
                  <c:v>11.5</c:v>
                </c:pt>
                <c:pt idx="3">
                  <c:v>7.1</c:v>
                </c:pt>
                <c:pt idx="4">
                  <c:v>11.1</c:v>
                </c:pt>
              </c:numCache>
            </c:numRef>
          </c:val>
          <c:extLst>
            <c:ext xmlns:c16="http://schemas.microsoft.com/office/drawing/2014/chart" uri="{C3380CC4-5D6E-409C-BE32-E72D297353CC}">
              <c16:uniqueId val="{00000001-5DC4-406C-8472-93718C7710F8}"/>
            </c:ext>
          </c:extLst>
        </c:ser>
        <c:dLbls>
          <c:showLegendKey val="0"/>
          <c:showVal val="0"/>
          <c:showCatName val="0"/>
          <c:showSerName val="0"/>
          <c:showPercent val="0"/>
          <c:showBubbleSize val="0"/>
        </c:dLbls>
        <c:gapWidth val="150"/>
        <c:axId val="50796416"/>
        <c:axId val="50797952"/>
      </c:barChart>
      <c:catAx>
        <c:axId val="50796416"/>
        <c:scaling>
          <c:orientation val="minMax"/>
        </c:scaling>
        <c:delete val="0"/>
        <c:axPos val="b"/>
        <c:numFmt formatCode="General" sourceLinked="0"/>
        <c:majorTickMark val="out"/>
        <c:minorTickMark val="none"/>
        <c:tickLblPos val="nextTo"/>
        <c:txPr>
          <a:bodyPr/>
          <a:lstStyle/>
          <a:p>
            <a:pPr>
              <a:defRPr sz="800" baseline="0">
                <a:latin typeface="Times New Roman" panose="02020603050405020304" pitchFamily="18" charset="0"/>
                <a:cs typeface="Times New Roman" panose="02020603050405020304" pitchFamily="18" charset="0"/>
              </a:defRPr>
            </a:pPr>
            <a:endParaRPr lang="ro-MD"/>
          </a:p>
        </c:txPr>
        <c:crossAx val="50797952"/>
        <c:crosses val="autoZero"/>
        <c:auto val="1"/>
        <c:lblAlgn val="ctr"/>
        <c:lblOffset val="100"/>
        <c:noMultiLvlLbl val="0"/>
      </c:catAx>
      <c:valAx>
        <c:axId val="50797952"/>
        <c:scaling>
          <c:orientation val="minMax"/>
          <c:max val="12"/>
        </c:scaling>
        <c:delete val="0"/>
        <c:axPos val="l"/>
        <c:majorGridlines/>
        <c:numFmt formatCode="0.0" sourceLinked="1"/>
        <c:majorTickMark val="out"/>
        <c:minorTickMark val="none"/>
        <c:tickLblPos val="nextTo"/>
        <c:txPr>
          <a:bodyPr/>
          <a:lstStyle/>
          <a:p>
            <a:pPr>
              <a:defRPr sz="900" b="1" i="0" baseline="0">
                <a:latin typeface="Times New Roman" panose="02020603050405020304" pitchFamily="18" charset="0"/>
                <a:cs typeface="Times New Roman" panose="02020603050405020304" pitchFamily="18" charset="0"/>
              </a:defRPr>
            </a:pPr>
            <a:endParaRPr lang="ro-MD"/>
          </a:p>
        </c:txPr>
        <c:crossAx val="50796416"/>
        <c:crosses val="autoZero"/>
        <c:crossBetween val="between"/>
      </c:valAx>
    </c:plotArea>
    <c:legend>
      <c:legendPos val="b"/>
      <c:legendEntry>
        <c:idx val="0"/>
        <c:txPr>
          <a:bodyPr/>
          <a:lstStyle/>
          <a:p>
            <a:pPr>
              <a:defRPr sz="900" b="1" i="0" baseline="0">
                <a:solidFill>
                  <a:schemeClr val="tx2"/>
                </a:solidFill>
                <a:latin typeface="Times New Roman" panose="02020603050405020304" pitchFamily="18" charset="0"/>
                <a:cs typeface="Times New Roman" panose="02020603050405020304" pitchFamily="18" charset="0"/>
              </a:defRPr>
            </a:pPr>
            <a:endParaRPr lang="ro-MD"/>
          </a:p>
        </c:txPr>
      </c:legendEntry>
      <c:legendEntry>
        <c:idx val="1"/>
        <c:txPr>
          <a:bodyPr/>
          <a:lstStyle/>
          <a:p>
            <a:pPr>
              <a:defRPr sz="900" b="1" i="0" baseline="0">
                <a:solidFill>
                  <a:srgbClr val="C00000"/>
                </a:solidFill>
                <a:latin typeface="Times New Roman" panose="02020603050405020304" pitchFamily="18" charset="0"/>
                <a:cs typeface="Times New Roman" panose="02020603050405020304" pitchFamily="18" charset="0"/>
              </a:defRPr>
            </a:pPr>
            <a:endParaRPr lang="ro-MD"/>
          </a:p>
        </c:txPr>
      </c:legendEntry>
      <c:layout>
        <c:manualLayout>
          <c:xMode val="edge"/>
          <c:yMode val="edge"/>
          <c:x val="0.40877450572378243"/>
          <c:y val="0.88567134990479135"/>
          <c:w val="0.1824507665928651"/>
          <c:h val="7.2498584735731578E-2"/>
        </c:manualLayout>
      </c:layout>
      <c:overlay val="0"/>
      <c:txPr>
        <a:bodyPr/>
        <a:lstStyle/>
        <a:p>
          <a:pPr>
            <a:defRPr sz="900" b="0">
              <a:latin typeface="Times New Roman" panose="02020603050405020304" pitchFamily="18" charset="0"/>
              <a:cs typeface="Times New Roman" panose="02020603050405020304" pitchFamily="18" charset="0"/>
            </a:defRPr>
          </a:pPr>
          <a:endParaRPr lang="ro-MD"/>
        </a:p>
      </c:txPr>
    </c:legend>
    <c:plotVisOnly val="1"/>
    <c:dispBlanksAs val="gap"/>
    <c:showDLblsOverMax val="0"/>
  </c:chart>
  <c:spPr>
    <a:ln>
      <a:solidFill>
        <a:schemeClr val="tx1"/>
      </a:solidFill>
    </a:ln>
  </c:sp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'[lucru raport 2021 final.xlsx]1-2_Evolutia Indicat.Principali'!$L$40</c:f>
              <c:strCache>
                <c:ptCount val="1"/>
                <c:pt idx="0">
                  <c:v>2022</c:v>
                </c:pt>
              </c:strCache>
            </c:strRef>
          </c:tx>
          <c:invertIfNegative val="0"/>
          <c:dLbls>
            <c:dLbl>
              <c:idx val="0"/>
              <c:layout>
                <c:manualLayout>
                  <c:x val="0"/>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F83-47C4-A93D-56C7B23C5973}"/>
                </c:ext>
              </c:extLst>
            </c:dLbl>
            <c:dLbl>
              <c:idx val="1"/>
              <c:layout>
                <c:manualLayout>
                  <c:x val="0"/>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F83-47C4-A93D-56C7B23C5973}"/>
                </c:ext>
              </c:extLst>
            </c:dLbl>
            <c:dLbl>
              <c:idx val="2"/>
              <c:layout>
                <c:manualLayout>
                  <c:x val="0"/>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F83-47C4-A93D-56C7B23C5973}"/>
                </c:ext>
              </c:extLst>
            </c:dLbl>
            <c:dLbl>
              <c:idx val="3"/>
              <c:layout>
                <c:manualLayout>
                  <c:x val="0"/>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F83-47C4-A93D-56C7B23C5973}"/>
                </c:ext>
              </c:extLst>
            </c:dLbl>
            <c:dLbl>
              <c:idx val="4"/>
              <c:layout>
                <c:manualLayout>
                  <c:x val="0"/>
                  <c:y val="1.38888888888888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F83-47C4-A93D-56C7B23C5973}"/>
                </c:ext>
              </c:extLst>
            </c:dLbl>
            <c:spPr>
              <a:noFill/>
              <a:ln>
                <a:noFill/>
              </a:ln>
              <a:effectLst/>
            </c:spPr>
            <c:txPr>
              <a:bodyPr/>
              <a:lstStyle/>
              <a:p>
                <a:pPr>
                  <a:defRPr sz="800" b="1">
                    <a:solidFill>
                      <a:schemeClr val="tx2"/>
                    </a:solidFill>
                    <a:latin typeface="Times New Roman" pitchFamily="18" charset="0"/>
                    <a:cs typeface="Times New Roman" pitchFamily="18" charset="0"/>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'[lucru raport 2021 final.xlsx]1-2_Evolutia Indicat.Principali'!$K$41:$K$45</c:f>
              <c:strCache>
                <c:ptCount val="5"/>
                <c:pt idx="0">
                  <c:v>Total</c:v>
                </c:pt>
                <c:pt idx="1">
                  <c:v>Bărbați</c:v>
                </c:pt>
                <c:pt idx="2">
                  <c:v>Femei </c:v>
                </c:pt>
                <c:pt idx="3">
                  <c:v>Urban</c:v>
                </c:pt>
                <c:pt idx="4">
                  <c:v>Rural</c:v>
                </c:pt>
              </c:strCache>
            </c:strRef>
          </c:cat>
          <c:val>
            <c:numRef>
              <c:f>'[lucru raport 2021 final.xlsx]1-2_Evolutia Indicat.Principali'!$L$41:$L$45</c:f>
              <c:numCache>
                <c:formatCode>0.0</c:formatCode>
                <c:ptCount val="5"/>
                <c:pt idx="0" formatCode="General">
                  <c:v>3.1</c:v>
                </c:pt>
                <c:pt idx="1">
                  <c:v>3.5</c:v>
                </c:pt>
                <c:pt idx="2">
                  <c:v>2.6</c:v>
                </c:pt>
                <c:pt idx="3">
                  <c:v>3.6</c:v>
                </c:pt>
                <c:pt idx="4">
                  <c:v>2.7</c:v>
                </c:pt>
              </c:numCache>
            </c:numRef>
          </c:val>
          <c:extLst>
            <c:ext xmlns:c16="http://schemas.microsoft.com/office/drawing/2014/chart" uri="{C3380CC4-5D6E-409C-BE32-E72D297353CC}">
              <c16:uniqueId val="{00000005-7F83-47C4-A93D-56C7B23C5973}"/>
            </c:ext>
          </c:extLst>
        </c:ser>
        <c:ser>
          <c:idx val="1"/>
          <c:order val="1"/>
          <c:tx>
            <c:strRef>
              <c:f>'[lucru raport 2021 final.xlsx]1-2_Evolutia Indicat.Principali'!$M$40</c:f>
              <c:strCache>
                <c:ptCount val="1"/>
                <c:pt idx="0">
                  <c:v>2023</c:v>
                </c:pt>
              </c:strCache>
            </c:strRef>
          </c:tx>
          <c:invertIfNegative val="0"/>
          <c:dLbls>
            <c:dLbl>
              <c:idx val="0"/>
              <c:layout>
                <c:manualLayout>
                  <c:x val="-2.777777777777803E-3"/>
                  <c:y val="9.25925925925925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F83-47C4-A93D-56C7B23C5973}"/>
                </c:ext>
              </c:extLst>
            </c:dLbl>
            <c:dLbl>
              <c:idx val="1"/>
              <c:layout>
                <c:manualLayout>
                  <c:x val="-5.0925337632079971E-17"/>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F83-47C4-A93D-56C7B23C5973}"/>
                </c:ext>
              </c:extLst>
            </c:dLbl>
            <c:dLbl>
              <c:idx val="2"/>
              <c:layout>
                <c:manualLayout>
                  <c:x val="0"/>
                  <c:y val="1.38888888888888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F83-47C4-A93D-56C7B23C5973}"/>
                </c:ext>
              </c:extLst>
            </c:dLbl>
            <c:dLbl>
              <c:idx val="3"/>
              <c:layout>
                <c:manualLayout>
                  <c:x val="0"/>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F83-47C4-A93D-56C7B23C5973}"/>
                </c:ext>
              </c:extLst>
            </c:dLbl>
            <c:dLbl>
              <c:idx val="4"/>
              <c:layout>
                <c:manualLayout>
                  <c:x val="-1.0185067526415994E-16"/>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F83-47C4-A93D-56C7B23C5973}"/>
                </c:ext>
              </c:extLst>
            </c:dLbl>
            <c:spPr>
              <a:noFill/>
              <a:ln>
                <a:noFill/>
              </a:ln>
              <a:effectLst/>
            </c:spPr>
            <c:txPr>
              <a:bodyPr/>
              <a:lstStyle/>
              <a:p>
                <a:pPr>
                  <a:defRPr sz="800" b="1">
                    <a:solidFill>
                      <a:srgbClr val="C00000"/>
                    </a:solidFill>
                    <a:latin typeface="Times New Roman" pitchFamily="18" charset="0"/>
                    <a:cs typeface="Times New Roman" pitchFamily="18" charset="0"/>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'[lucru raport 2021 final.xlsx]1-2_Evolutia Indicat.Principali'!$K$41:$K$45</c:f>
              <c:strCache>
                <c:ptCount val="5"/>
                <c:pt idx="0">
                  <c:v>Total</c:v>
                </c:pt>
                <c:pt idx="1">
                  <c:v>Bărbați</c:v>
                </c:pt>
                <c:pt idx="2">
                  <c:v>Femei </c:v>
                </c:pt>
                <c:pt idx="3">
                  <c:v>Urban</c:v>
                </c:pt>
                <c:pt idx="4">
                  <c:v>Rural</c:v>
                </c:pt>
              </c:strCache>
            </c:strRef>
          </c:cat>
          <c:val>
            <c:numRef>
              <c:f>'[lucru raport 2021 final.xlsx]1-2_Evolutia Indicat.Principali'!$M$41:$M$45</c:f>
              <c:numCache>
                <c:formatCode>0.0</c:formatCode>
                <c:ptCount val="5"/>
                <c:pt idx="0" formatCode="General">
                  <c:v>4.5999999999999996</c:v>
                </c:pt>
                <c:pt idx="1">
                  <c:v>5</c:v>
                </c:pt>
                <c:pt idx="2">
                  <c:v>4.2</c:v>
                </c:pt>
                <c:pt idx="3">
                  <c:v>4.8</c:v>
                </c:pt>
                <c:pt idx="4">
                  <c:v>4.4000000000000004</c:v>
                </c:pt>
              </c:numCache>
            </c:numRef>
          </c:val>
          <c:extLst>
            <c:ext xmlns:c16="http://schemas.microsoft.com/office/drawing/2014/chart" uri="{C3380CC4-5D6E-409C-BE32-E72D297353CC}">
              <c16:uniqueId val="{0000000B-7F83-47C4-A93D-56C7B23C5973}"/>
            </c:ext>
          </c:extLst>
        </c:ser>
        <c:dLbls>
          <c:showLegendKey val="0"/>
          <c:showVal val="0"/>
          <c:showCatName val="0"/>
          <c:showSerName val="0"/>
          <c:showPercent val="0"/>
          <c:showBubbleSize val="0"/>
        </c:dLbls>
        <c:gapWidth val="150"/>
        <c:axId val="94227456"/>
        <c:axId val="94233344"/>
      </c:barChart>
      <c:catAx>
        <c:axId val="94227456"/>
        <c:scaling>
          <c:orientation val="minMax"/>
        </c:scaling>
        <c:delete val="0"/>
        <c:axPos val="b"/>
        <c:numFmt formatCode="General" sourceLinked="0"/>
        <c:majorTickMark val="out"/>
        <c:minorTickMark val="none"/>
        <c:tickLblPos val="nextTo"/>
        <c:txPr>
          <a:bodyPr/>
          <a:lstStyle/>
          <a:p>
            <a:pPr>
              <a:defRPr sz="900">
                <a:latin typeface="Times New Roman" pitchFamily="18" charset="0"/>
                <a:cs typeface="Times New Roman" pitchFamily="18" charset="0"/>
              </a:defRPr>
            </a:pPr>
            <a:endParaRPr lang="ro-MD"/>
          </a:p>
        </c:txPr>
        <c:crossAx val="94233344"/>
        <c:crosses val="autoZero"/>
        <c:auto val="1"/>
        <c:lblAlgn val="ctr"/>
        <c:lblOffset val="100"/>
        <c:noMultiLvlLbl val="0"/>
      </c:catAx>
      <c:valAx>
        <c:axId val="94233344"/>
        <c:scaling>
          <c:orientation val="minMax"/>
        </c:scaling>
        <c:delete val="0"/>
        <c:axPos val="l"/>
        <c:majorGridlines/>
        <c:numFmt formatCode="General"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ro-MD"/>
          </a:p>
        </c:txPr>
        <c:crossAx val="94227456"/>
        <c:crosses val="autoZero"/>
        <c:crossBetween val="between"/>
      </c:valAx>
    </c:plotArea>
    <c:legend>
      <c:legendPos val="b"/>
      <c:legendEntry>
        <c:idx val="0"/>
        <c:txPr>
          <a:bodyPr/>
          <a:lstStyle/>
          <a:p>
            <a:pPr>
              <a:defRPr sz="900" b="1" i="0" baseline="0">
                <a:solidFill>
                  <a:schemeClr val="tx2"/>
                </a:solidFill>
                <a:latin typeface="Times New Roman" panose="02020603050405020304" pitchFamily="18" charset="0"/>
                <a:cs typeface="Times New Roman" panose="02020603050405020304" pitchFamily="18" charset="0"/>
              </a:defRPr>
            </a:pPr>
            <a:endParaRPr lang="ro-MD"/>
          </a:p>
        </c:txPr>
      </c:legendEntry>
      <c:legendEntry>
        <c:idx val="1"/>
        <c:txPr>
          <a:bodyPr/>
          <a:lstStyle/>
          <a:p>
            <a:pPr>
              <a:defRPr sz="900" b="1" i="0" baseline="0">
                <a:solidFill>
                  <a:srgbClr val="C00000"/>
                </a:solidFill>
                <a:latin typeface="Times New Roman" panose="02020603050405020304" pitchFamily="18" charset="0"/>
                <a:cs typeface="Times New Roman" panose="02020603050405020304" pitchFamily="18" charset="0"/>
              </a:defRPr>
            </a:pPr>
            <a:endParaRPr lang="ro-MD"/>
          </a:p>
        </c:txPr>
      </c:legendEntry>
      <c:overlay val="0"/>
      <c:txPr>
        <a:bodyPr/>
        <a:lstStyle/>
        <a:p>
          <a:pPr>
            <a:defRPr sz="900">
              <a:latin typeface="Times New Roman" panose="02020603050405020304" pitchFamily="18" charset="0"/>
              <a:cs typeface="Times New Roman" panose="02020603050405020304" pitchFamily="18" charset="0"/>
            </a:defRPr>
          </a:pPr>
          <a:endParaRPr lang="ro-MD"/>
        </a:p>
      </c:txPr>
    </c:legend>
    <c:plotVisOnly val="1"/>
    <c:dispBlanksAs val="gap"/>
    <c:showDLblsOverMax val="0"/>
  </c:chart>
  <c:spPr>
    <a:ln w="9525">
      <a:solidFill>
        <a:sysClr val="windowText" lastClr="000000"/>
      </a:solidFill>
    </a:ln>
  </c:sp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'[ultimul excel xlsx.xlsx]mun020100'!$D$70</c:f>
              <c:strCache>
                <c:ptCount val="1"/>
                <c:pt idx="0">
                  <c:v>2022</c:v>
                </c:pt>
              </c:strCache>
            </c:strRef>
          </c:tx>
          <c:invertIfNegative val="0"/>
          <c:dLbls>
            <c:dLbl>
              <c:idx val="1"/>
              <c:layout>
                <c:manualLayout>
                  <c:x val="-5.5555555555555558E-3"/>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43F-4073-86A8-090616FBEF7D}"/>
                </c:ext>
              </c:extLst>
            </c:dLbl>
            <c:dLbl>
              <c:idx val="2"/>
              <c:layout>
                <c:manualLayout>
                  <c:x val="-5.5555555555556572E-3"/>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43F-4073-86A8-090616FBEF7D}"/>
                </c:ext>
              </c:extLst>
            </c:dLbl>
            <c:dLbl>
              <c:idx val="4"/>
              <c:layout>
                <c:manualLayout>
                  <c:x val="-5.5555555555555558E-3"/>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43F-4073-86A8-090616FBEF7D}"/>
                </c:ext>
              </c:extLst>
            </c:dLbl>
            <c:spPr>
              <a:noFill/>
              <a:ln>
                <a:noFill/>
              </a:ln>
              <a:effectLst/>
            </c:spPr>
            <c:txPr>
              <a:bodyPr wrap="square" lIns="38100" tIns="19050" rIns="38100" bIns="19050" anchor="ctr">
                <a:spAutoFit/>
              </a:bodyPr>
              <a:lstStyle/>
              <a:p>
                <a:pPr>
                  <a:defRPr sz="800" b="1" i="0" baseline="0">
                    <a:solidFill>
                      <a:schemeClr val="tx2"/>
                    </a:solidFill>
                    <a:latin typeface="Times New Roman" panose="02020603050405020304" pitchFamily="18" charset="0"/>
                    <a:cs typeface="Times New Roman" panose="02020603050405020304" pitchFamily="18" charset="0"/>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'[ultimul excel xlsx.xlsx]mun020100'!$C$71:$C$75</c:f>
              <c:strCache>
                <c:ptCount val="5"/>
                <c:pt idx="0">
                  <c:v>mai putin de 3 luni</c:v>
                </c:pt>
                <c:pt idx="1">
                  <c:v>3-5 luni</c:v>
                </c:pt>
                <c:pt idx="2">
                  <c:v>6-11 luni</c:v>
                </c:pt>
                <c:pt idx="3">
                  <c:v>12-23 luni</c:v>
                </c:pt>
                <c:pt idx="4">
                  <c:v>24 luni si mai mult</c:v>
                </c:pt>
              </c:strCache>
            </c:strRef>
          </c:cat>
          <c:val>
            <c:numRef>
              <c:f>'[ultimul excel xlsx.xlsx]mun020100'!$D$71:$D$75</c:f>
              <c:numCache>
                <c:formatCode>0.0</c:formatCode>
                <c:ptCount val="5"/>
                <c:pt idx="0">
                  <c:v>11.3</c:v>
                </c:pt>
                <c:pt idx="1">
                  <c:v>5.0999999999999996</c:v>
                </c:pt>
                <c:pt idx="2">
                  <c:v>5</c:v>
                </c:pt>
                <c:pt idx="3">
                  <c:v>3.4</c:v>
                </c:pt>
                <c:pt idx="4">
                  <c:v>2.9</c:v>
                </c:pt>
              </c:numCache>
            </c:numRef>
          </c:val>
          <c:extLst>
            <c:ext xmlns:c16="http://schemas.microsoft.com/office/drawing/2014/chart" uri="{C3380CC4-5D6E-409C-BE32-E72D297353CC}">
              <c16:uniqueId val="{00000000-5CCD-460B-9E15-B0F299ED45CB}"/>
            </c:ext>
          </c:extLst>
        </c:ser>
        <c:ser>
          <c:idx val="1"/>
          <c:order val="1"/>
          <c:tx>
            <c:strRef>
              <c:f>'[ultimul excel xlsx.xlsx]mun020100'!$E$70</c:f>
              <c:strCache>
                <c:ptCount val="1"/>
                <c:pt idx="0">
                  <c:v>2023</c:v>
                </c:pt>
              </c:strCache>
            </c:strRef>
          </c:tx>
          <c:invertIfNegative val="0"/>
          <c:dLbls>
            <c:dLbl>
              <c:idx val="0"/>
              <c:layout>
                <c:manualLayout>
                  <c:x val="-2.5462668816039986E-17"/>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43F-4073-86A8-090616FBEF7D}"/>
                </c:ext>
              </c:extLst>
            </c:dLbl>
            <c:dLbl>
              <c:idx val="2"/>
              <c:layout>
                <c:manualLayout>
                  <c:x val="-2.7777777777777779E-3"/>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43F-4073-86A8-090616FBEF7D}"/>
                </c:ext>
              </c:extLst>
            </c:dLbl>
            <c:spPr>
              <a:noFill/>
              <a:ln>
                <a:noFill/>
              </a:ln>
              <a:effectLst/>
            </c:spPr>
            <c:txPr>
              <a:bodyPr wrap="square" lIns="38100" tIns="19050" rIns="38100" bIns="19050" anchor="ctr">
                <a:spAutoFit/>
              </a:bodyPr>
              <a:lstStyle/>
              <a:p>
                <a:pPr>
                  <a:defRPr sz="800" b="1" i="0" baseline="0">
                    <a:solidFill>
                      <a:srgbClr val="C00000"/>
                    </a:solidFill>
                    <a:latin typeface="Times New Roman" panose="02020603050405020304" pitchFamily="18" charset="0"/>
                    <a:cs typeface="Times New Roman" panose="02020603050405020304" pitchFamily="18" charset="0"/>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'[ultimul excel xlsx.xlsx]mun020100'!$C$71:$C$75</c:f>
              <c:strCache>
                <c:ptCount val="5"/>
                <c:pt idx="0">
                  <c:v>mai putin de 3 luni</c:v>
                </c:pt>
                <c:pt idx="1">
                  <c:v>3-5 luni</c:v>
                </c:pt>
                <c:pt idx="2">
                  <c:v>6-11 luni</c:v>
                </c:pt>
                <c:pt idx="3">
                  <c:v>12-23 luni</c:v>
                </c:pt>
                <c:pt idx="4">
                  <c:v>24 luni si mai mult</c:v>
                </c:pt>
              </c:strCache>
            </c:strRef>
          </c:cat>
          <c:val>
            <c:numRef>
              <c:f>'[ultimul excel xlsx.xlsx]mun020100'!$E$71:$E$75</c:f>
              <c:numCache>
                <c:formatCode>0.0</c:formatCode>
                <c:ptCount val="5"/>
                <c:pt idx="0">
                  <c:v>18.8</c:v>
                </c:pt>
                <c:pt idx="1">
                  <c:v>9.6999999999999993</c:v>
                </c:pt>
                <c:pt idx="2">
                  <c:v>6.7</c:v>
                </c:pt>
                <c:pt idx="3">
                  <c:v>3.7</c:v>
                </c:pt>
                <c:pt idx="4">
                  <c:v>3.7</c:v>
                </c:pt>
              </c:numCache>
            </c:numRef>
          </c:val>
          <c:extLst>
            <c:ext xmlns:c16="http://schemas.microsoft.com/office/drawing/2014/chart" uri="{C3380CC4-5D6E-409C-BE32-E72D297353CC}">
              <c16:uniqueId val="{00000001-5CCD-460B-9E15-B0F299ED45CB}"/>
            </c:ext>
          </c:extLst>
        </c:ser>
        <c:dLbls>
          <c:showLegendKey val="0"/>
          <c:showVal val="0"/>
          <c:showCatName val="0"/>
          <c:showSerName val="0"/>
          <c:showPercent val="0"/>
          <c:showBubbleSize val="0"/>
        </c:dLbls>
        <c:gapWidth val="150"/>
        <c:axId val="83816448"/>
        <c:axId val="83819904"/>
      </c:barChart>
      <c:catAx>
        <c:axId val="83816448"/>
        <c:scaling>
          <c:orientation val="minMax"/>
        </c:scaling>
        <c:delete val="0"/>
        <c:axPos val="b"/>
        <c:numFmt formatCode="General" sourceLinked="0"/>
        <c:majorTickMark val="out"/>
        <c:minorTickMark val="none"/>
        <c:tickLblPos val="nextTo"/>
        <c:txPr>
          <a:bodyPr/>
          <a:lstStyle/>
          <a:p>
            <a:pPr>
              <a:defRPr sz="800" baseline="0">
                <a:latin typeface="Times New Roman" panose="02020603050405020304" pitchFamily="18" charset="0"/>
                <a:cs typeface="Times New Roman" panose="02020603050405020304" pitchFamily="18" charset="0"/>
              </a:defRPr>
            </a:pPr>
            <a:endParaRPr lang="ro-MD"/>
          </a:p>
        </c:txPr>
        <c:crossAx val="83819904"/>
        <c:crosses val="autoZero"/>
        <c:auto val="1"/>
        <c:lblAlgn val="ctr"/>
        <c:lblOffset val="100"/>
        <c:noMultiLvlLbl val="0"/>
      </c:catAx>
      <c:valAx>
        <c:axId val="83819904"/>
        <c:scaling>
          <c:orientation val="minMax"/>
        </c:scaling>
        <c:delete val="0"/>
        <c:axPos val="l"/>
        <c:majorGridlines/>
        <c:numFmt formatCode="0.0" sourceLinked="1"/>
        <c:majorTickMark val="out"/>
        <c:minorTickMark val="none"/>
        <c:tickLblPos val="nextTo"/>
        <c:txPr>
          <a:bodyPr/>
          <a:lstStyle/>
          <a:p>
            <a:pPr>
              <a:defRPr sz="900" b="1" i="0" baseline="0">
                <a:latin typeface="Times New Roman" panose="02020603050405020304" pitchFamily="18" charset="0"/>
                <a:cs typeface="Times New Roman" panose="02020603050405020304" pitchFamily="18" charset="0"/>
              </a:defRPr>
            </a:pPr>
            <a:endParaRPr lang="ro-MD"/>
          </a:p>
        </c:txPr>
        <c:crossAx val="83816448"/>
        <c:crosses val="autoZero"/>
        <c:crossBetween val="between"/>
      </c:valAx>
    </c:plotArea>
    <c:legend>
      <c:legendPos val="b"/>
      <c:legendEntry>
        <c:idx val="0"/>
        <c:txPr>
          <a:bodyPr/>
          <a:lstStyle/>
          <a:p>
            <a:pPr>
              <a:defRPr sz="900" b="1" i="0" baseline="0">
                <a:solidFill>
                  <a:schemeClr val="tx2"/>
                </a:solidFill>
                <a:latin typeface="Times New Roman" panose="02020603050405020304" pitchFamily="18" charset="0"/>
                <a:cs typeface="Times New Roman" panose="02020603050405020304" pitchFamily="18" charset="0"/>
              </a:defRPr>
            </a:pPr>
            <a:endParaRPr lang="ro-MD"/>
          </a:p>
        </c:txPr>
      </c:legendEntry>
      <c:legendEntry>
        <c:idx val="1"/>
        <c:txPr>
          <a:bodyPr/>
          <a:lstStyle/>
          <a:p>
            <a:pPr>
              <a:defRPr sz="900" b="1" i="0" baseline="0">
                <a:solidFill>
                  <a:srgbClr val="C00000"/>
                </a:solidFill>
                <a:latin typeface="Times New Roman" panose="02020603050405020304" pitchFamily="18" charset="0"/>
                <a:cs typeface="Times New Roman" panose="02020603050405020304" pitchFamily="18" charset="0"/>
              </a:defRPr>
            </a:pPr>
            <a:endParaRPr lang="ro-MD"/>
          </a:p>
        </c:txPr>
      </c:legendEntry>
      <c:overlay val="0"/>
      <c:txPr>
        <a:bodyPr/>
        <a:lstStyle/>
        <a:p>
          <a:pPr>
            <a:defRPr>
              <a:latin typeface="Times New Roman" panose="02020603050405020304" pitchFamily="18" charset="0"/>
              <a:cs typeface="Times New Roman" panose="02020603050405020304" pitchFamily="18" charset="0"/>
            </a:defRPr>
          </a:pPr>
          <a:endParaRPr lang="ro-MD"/>
        </a:p>
      </c:txPr>
    </c:legend>
    <c:plotVisOnly val="1"/>
    <c:dispBlanksAs val="gap"/>
    <c:showDLblsOverMax val="0"/>
  </c:chart>
  <c:spPr>
    <a:ln>
      <a:solidFill>
        <a:schemeClr val="tx1"/>
      </a:solidFill>
    </a:ln>
  </c:sp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6990420783389335"/>
          <c:y val="0.16552994512049629"/>
          <c:w val="0.49416186034070581"/>
          <c:h val="0.70530374612264379"/>
        </c:manualLayout>
      </c:layout>
      <c:pieChart>
        <c:varyColors val="1"/>
        <c:ser>
          <c:idx val="0"/>
          <c:order val="0"/>
          <c:dLbls>
            <c:dLbl>
              <c:idx val="1"/>
              <c:tx>
                <c:rich>
                  <a:bodyPr/>
                  <a:lstStyle/>
                  <a:p>
                    <a:r>
                      <a:rPr lang="en-US"/>
                      <a:t>13,1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CF2B-4378-A652-601F8D86D7EA}"/>
                </c:ext>
              </c:extLst>
            </c:dLbl>
            <c:dLbl>
              <c:idx val="2"/>
              <c:tx>
                <c:rich>
                  <a:bodyPr/>
                  <a:lstStyle/>
                  <a:p>
                    <a:r>
                      <a:rPr lang="en-US"/>
                      <a:t>13,0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CF2B-4378-A652-601F8D86D7EA}"/>
                </c:ext>
              </c:extLst>
            </c:dLbl>
            <c:dLbl>
              <c:idx val="3"/>
              <c:tx>
                <c:rich>
                  <a:bodyPr/>
                  <a:lstStyle/>
                  <a:p>
                    <a:r>
                      <a:rPr lang="en-US"/>
                      <a:t>10,2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CF2B-4378-A652-601F8D86D7EA}"/>
                </c:ext>
              </c:extLst>
            </c:dLbl>
            <c:dLbl>
              <c:idx val="4"/>
              <c:tx>
                <c:rich>
                  <a:bodyPr/>
                  <a:lstStyle/>
                  <a:p>
                    <a:r>
                      <a:rPr lang="en-US"/>
                      <a:t>7,5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CF2B-4378-A652-601F8D86D7EA}"/>
                </c:ext>
              </c:extLst>
            </c:dLbl>
            <c:dLbl>
              <c:idx val="5"/>
              <c:tx>
                <c:rich>
                  <a:bodyPr/>
                  <a:lstStyle/>
                  <a:p>
                    <a:r>
                      <a:rPr lang="en-US"/>
                      <a:t>9,5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CF2B-4378-A652-601F8D86D7EA}"/>
                </c:ext>
              </c:extLst>
            </c:dLbl>
            <c:spPr>
              <a:noFill/>
              <a:ln>
                <a:noFill/>
              </a:ln>
              <a:effectLst/>
            </c:spPr>
            <c:txPr>
              <a:bodyPr wrap="square" lIns="38100" tIns="19050" rIns="38100" bIns="19050" anchor="ctr">
                <a:spAutoFit/>
              </a:bodyPr>
              <a:lstStyle/>
              <a:p>
                <a:pPr>
                  <a:defRPr sz="900" b="1">
                    <a:solidFill>
                      <a:schemeClr val="bg1"/>
                    </a:solidFill>
                    <a:latin typeface="Times New Roman" panose="02020603050405020304" pitchFamily="18" charset="0"/>
                    <a:cs typeface="Times New Roman" panose="02020603050405020304" pitchFamily="18" charset="0"/>
                  </a:defRPr>
                </a:pPr>
                <a:endParaRPr lang="ro-MD"/>
              </a:p>
            </c:txPr>
            <c:showLegendKey val="0"/>
            <c:showVal val="1"/>
            <c:showCatName val="0"/>
            <c:showSerName val="0"/>
            <c:showPercent val="0"/>
            <c:showBubbleSize val="0"/>
            <c:showLeaderLines val="1"/>
            <c:extLst>
              <c:ext xmlns:c15="http://schemas.microsoft.com/office/drawing/2012/chart" uri="{CE6537A1-D6FC-4f65-9D91-7224C49458BB}"/>
            </c:extLst>
          </c:dLbls>
          <c:cat>
            <c:strRef>
              <c:f>'[lucru raport 2021 (1).xlsx] 3-4_Zone_regiuni'!$A$33:$A$38</c:f>
              <c:strCache>
                <c:ptCount val="6"/>
                <c:pt idx="0">
                  <c:v>      Pensionari</c:v>
                </c:pt>
                <c:pt idx="1">
                  <c:v>     Elevi sau studenți</c:v>
                </c:pt>
                <c:pt idx="2">
                  <c:v>     Lucru casnic/îngrijirea familiei</c:v>
                </c:pt>
                <c:pt idx="3">
                  <c:v>     Nu doresc să lucreze în țară, ci peste hotare</c:v>
                </c:pt>
                <c:pt idx="4">
                  <c:v>Persoane aflate peste hotare mai putin de 1 an la lucru sau în căutare de lucru</c:v>
                </c:pt>
                <c:pt idx="5">
                  <c:v>Alte persoane</c:v>
                </c:pt>
              </c:strCache>
            </c:strRef>
          </c:cat>
          <c:val>
            <c:numRef>
              <c:f>'[lucru raport 2021 (1).xlsx] 3-4_Zone_regiuni'!$D$33:$D$38</c:f>
              <c:numCache>
                <c:formatCode>General</c:formatCode>
                <c:ptCount val="6"/>
                <c:pt idx="0">
                  <c:v>46.7</c:v>
                </c:pt>
                <c:pt idx="1">
                  <c:v>13.3</c:v>
                </c:pt>
                <c:pt idx="2">
                  <c:v>13.3</c:v>
                </c:pt>
                <c:pt idx="3">
                  <c:v>10.3</c:v>
                </c:pt>
                <c:pt idx="4">
                  <c:v>6.3</c:v>
                </c:pt>
                <c:pt idx="5" formatCode="0.0">
                  <c:v>10</c:v>
                </c:pt>
              </c:numCache>
            </c:numRef>
          </c:val>
          <c:extLst>
            <c:ext xmlns:c16="http://schemas.microsoft.com/office/drawing/2014/chart" uri="{C3380CC4-5D6E-409C-BE32-E72D297353CC}">
              <c16:uniqueId val="{00000005-CF2B-4378-A652-601F8D86D7EA}"/>
            </c:ext>
          </c:extLst>
        </c:ser>
        <c:dLbls>
          <c:showLegendKey val="0"/>
          <c:showVal val="0"/>
          <c:showCatName val="0"/>
          <c:showSerName val="0"/>
          <c:showPercent val="0"/>
          <c:showBubbleSize val="0"/>
          <c:showLeaderLines val="1"/>
        </c:dLbls>
        <c:firstSliceAng val="0"/>
      </c:pieChart>
    </c:plotArea>
    <c:plotVisOnly val="1"/>
    <c:dispBlanksAs val="gap"/>
    <c:showDLblsOverMax val="0"/>
  </c:chart>
  <c:spPr>
    <a:ln>
      <a:solidFill>
        <a:schemeClr val="tx1"/>
      </a:solidFill>
    </a:ln>
  </c:spPr>
  <c:externalData r:id="rId2">
    <c:autoUpdate val="0"/>
  </c:externalData>
  <c:userShapes r:id="rId3"/>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1814406863511746E-2"/>
          <c:y val="0.16656549749463134"/>
          <c:w val="0.47034237765273268"/>
          <c:h val="0.70323311858744941"/>
        </c:manualLayout>
      </c:layout>
      <c:pieChart>
        <c:varyColors val="1"/>
        <c:ser>
          <c:idx val="0"/>
          <c:order val="0"/>
          <c:dLbls>
            <c:dLbl>
              <c:idx val="0"/>
              <c:tx>
                <c:rich>
                  <a:bodyPr/>
                  <a:lstStyle/>
                  <a:p>
                    <a:r>
                      <a:rPr lang="en-US"/>
                      <a:t>49,6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CE4E-4C9A-A5CA-DD72FF63C61F}"/>
                </c:ext>
              </c:extLst>
            </c:dLbl>
            <c:dLbl>
              <c:idx val="1"/>
              <c:tx>
                <c:rich>
                  <a:bodyPr/>
                  <a:lstStyle/>
                  <a:p>
                    <a:r>
                      <a:rPr lang="en-US"/>
                      <a:t>13,7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CE4E-4C9A-A5CA-DD72FF63C61F}"/>
                </c:ext>
              </c:extLst>
            </c:dLbl>
            <c:dLbl>
              <c:idx val="2"/>
              <c:tx>
                <c:rich>
                  <a:bodyPr/>
                  <a:lstStyle/>
                  <a:p>
                    <a:r>
                      <a:rPr lang="en-US"/>
                      <a:t>12,2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CE4E-4C9A-A5CA-DD72FF63C61F}"/>
                </c:ext>
              </c:extLst>
            </c:dLbl>
            <c:dLbl>
              <c:idx val="3"/>
              <c:tx>
                <c:rich>
                  <a:bodyPr/>
                  <a:lstStyle/>
                  <a:p>
                    <a:r>
                      <a:rPr lang="en-US"/>
                      <a:t>8,8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CE4E-4C9A-A5CA-DD72FF63C61F}"/>
                </c:ext>
              </c:extLst>
            </c:dLbl>
            <c:dLbl>
              <c:idx val="4"/>
              <c:tx>
                <c:rich>
                  <a:bodyPr/>
                  <a:lstStyle/>
                  <a:p>
                    <a:r>
                      <a:rPr lang="en-US"/>
                      <a:t>7,3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CE4E-4C9A-A5CA-DD72FF63C61F}"/>
                </c:ext>
              </c:extLst>
            </c:dLbl>
            <c:dLbl>
              <c:idx val="5"/>
              <c:tx>
                <c:rich>
                  <a:bodyPr/>
                  <a:lstStyle/>
                  <a:p>
                    <a:r>
                      <a:rPr lang="en-US"/>
                      <a:t>8,4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CE4E-4C9A-A5CA-DD72FF63C61F}"/>
                </c:ext>
              </c:extLst>
            </c:dLbl>
            <c:spPr>
              <a:noFill/>
              <a:ln>
                <a:noFill/>
              </a:ln>
              <a:effectLst/>
            </c:spPr>
            <c:txPr>
              <a:bodyPr wrap="square" lIns="38100" tIns="19050" rIns="38100" bIns="19050" anchor="ctr">
                <a:spAutoFit/>
              </a:bodyPr>
              <a:lstStyle/>
              <a:p>
                <a:pPr>
                  <a:defRPr sz="900">
                    <a:solidFill>
                      <a:schemeClr val="bg1"/>
                    </a:solidFill>
                    <a:latin typeface="Times New Roman" panose="02020603050405020304" pitchFamily="18" charset="0"/>
                    <a:cs typeface="Times New Roman" panose="02020603050405020304" pitchFamily="18" charset="0"/>
                  </a:defRPr>
                </a:pPr>
                <a:endParaRPr lang="ro-MD"/>
              </a:p>
            </c:txPr>
            <c:showLegendKey val="0"/>
            <c:showVal val="1"/>
            <c:showCatName val="0"/>
            <c:showSerName val="0"/>
            <c:showPercent val="0"/>
            <c:showBubbleSize val="0"/>
            <c:showLeaderLines val="1"/>
            <c:extLst>
              <c:ext xmlns:c15="http://schemas.microsoft.com/office/drawing/2012/chart" uri="{CE6537A1-D6FC-4f65-9D91-7224C49458BB}"/>
            </c:extLst>
          </c:dLbls>
          <c:cat>
            <c:strRef>
              <c:f>'[lucru raport 2021 (1).xlsx] 3-4_Zone_regiuni'!$A$33:$A$38</c:f>
              <c:strCache>
                <c:ptCount val="6"/>
                <c:pt idx="0">
                  <c:v>     Pensionari</c:v>
                </c:pt>
                <c:pt idx="1">
                  <c:v>     Elevi sau studenți</c:v>
                </c:pt>
                <c:pt idx="2">
                  <c:v>     Lucru casnic/îngrijirea familiei</c:v>
                </c:pt>
                <c:pt idx="3">
                  <c:v>     Nu doresc să lucreze în țară, ci peste hotare</c:v>
                </c:pt>
                <c:pt idx="4">
                  <c:v>Persoane aflate peste hotare mai putin de 1 an la lucru sau în căutare de lucru</c:v>
                </c:pt>
                <c:pt idx="5">
                  <c:v>Alte persoane</c:v>
                </c:pt>
              </c:strCache>
            </c:strRef>
          </c:cat>
          <c:val>
            <c:numRef>
              <c:f>'[lucru raport 2021 (1).xlsx] 3-4_Zone_regiuni'!$C$33:$C$38</c:f>
              <c:numCache>
                <c:formatCode>0.0</c:formatCode>
                <c:ptCount val="6"/>
                <c:pt idx="0" formatCode="General">
                  <c:v>46.7</c:v>
                </c:pt>
                <c:pt idx="1">
                  <c:v>13</c:v>
                </c:pt>
                <c:pt idx="2">
                  <c:v>13</c:v>
                </c:pt>
                <c:pt idx="3" formatCode="General">
                  <c:v>10.199999999999999</c:v>
                </c:pt>
                <c:pt idx="4">
                  <c:v>7.5</c:v>
                </c:pt>
                <c:pt idx="5" formatCode="General">
                  <c:v>9.5</c:v>
                </c:pt>
              </c:numCache>
            </c:numRef>
          </c:val>
          <c:extLst>
            <c:ext xmlns:c16="http://schemas.microsoft.com/office/drawing/2014/chart" uri="{C3380CC4-5D6E-409C-BE32-E72D297353CC}">
              <c16:uniqueId val="{00000006-CE4E-4C9A-A5CA-DD72FF63C61F}"/>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55164007417597316"/>
          <c:y val="8.0838072324292798E-2"/>
          <c:w val="0.43169363152670365"/>
          <c:h val="0.88924941673957425"/>
        </c:manualLayout>
      </c:layout>
      <c:overlay val="0"/>
      <c:txPr>
        <a:bodyPr/>
        <a:lstStyle/>
        <a:p>
          <a:pPr>
            <a:defRPr sz="700">
              <a:latin typeface="Times New Roman" pitchFamily="18" charset="0"/>
              <a:cs typeface="Times New Roman" pitchFamily="18" charset="0"/>
            </a:defRPr>
          </a:pPr>
          <a:endParaRPr lang="ro-MD"/>
        </a:p>
      </c:txPr>
    </c:legend>
    <c:plotVisOnly val="1"/>
    <c:dispBlanksAs val="gap"/>
    <c:showDLblsOverMax val="0"/>
  </c:chart>
  <c:spPr>
    <a:ln w="9525">
      <a:solidFill>
        <a:schemeClr val="tx1"/>
      </a:solidFill>
    </a:ln>
  </c:spPr>
  <c:externalData r:id="rId2">
    <c:autoUpdate val="0"/>
  </c:externalData>
  <c:userShapes r:id="rId3"/>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'[ultimul excel xlsx.xlsx]mun020100'!$D$70</c:f>
              <c:strCache>
                <c:ptCount val="1"/>
                <c:pt idx="0">
                  <c:v>2022</c:v>
                </c:pt>
              </c:strCache>
            </c:strRef>
          </c:tx>
          <c:invertIfNegative val="0"/>
          <c:dLbls>
            <c:dLbl>
              <c:idx val="0"/>
              <c:layout>
                <c:manualLayout>
                  <c:x val="-5.5555555555555558E-3"/>
                  <c:y val="-1.09739368998628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005-4898-B8D0-E63DACB74EC2}"/>
                </c:ext>
              </c:extLst>
            </c:dLbl>
            <c:dLbl>
              <c:idx val="2"/>
              <c:layout>
                <c:manualLayout>
                  <c:x val="0"/>
                  <c:y val="2.1947873799725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005-4898-B8D0-E63DACB74EC2}"/>
                </c:ext>
              </c:extLst>
            </c:dLbl>
            <c:dLbl>
              <c:idx val="3"/>
              <c:layout>
                <c:manualLayout>
                  <c:x val="-2.777777777777676E-3"/>
                  <c:y val="2.1947873799725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005-4898-B8D0-E63DACB74EC2}"/>
                </c:ext>
              </c:extLst>
            </c:dLbl>
            <c:spPr>
              <a:noFill/>
              <a:ln>
                <a:noFill/>
              </a:ln>
              <a:effectLst/>
            </c:spPr>
            <c:txPr>
              <a:bodyPr wrap="square" lIns="38100" tIns="19050" rIns="38100" bIns="19050" anchor="ctr">
                <a:spAutoFit/>
              </a:bodyPr>
              <a:lstStyle/>
              <a:p>
                <a:pPr>
                  <a:defRPr sz="800" b="1" i="0" baseline="0">
                    <a:solidFill>
                      <a:schemeClr val="tx2"/>
                    </a:solidFill>
                    <a:latin typeface="Times New Roman" panose="02020603050405020304" pitchFamily="18" charset="0"/>
                    <a:cs typeface="Times New Roman" panose="02020603050405020304" pitchFamily="18" charset="0"/>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'[ultimul excel xlsx.xlsx]mun020100'!$C$71:$C$74</c:f>
              <c:strCache>
                <c:ptCount val="4"/>
                <c:pt idx="0">
                  <c:v>mun.Chişinău</c:v>
                </c:pt>
                <c:pt idx="1">
                  <c:v>Nord</c:v>
                </c:pt>
                <c:pt idx="2">
                  <c:v>Centru</c:v>
                </c:pt>
                <c:pt idx="3">
                  <c:v>Sud</c:v>
                </c:pt>
              </c:strCache>
            </c:strRef>
          </c:cat>
          <c:val>
            <c:numRef>
              <c:f>'[ultimul excel xlsx.xlsx]mun020100'!$D$71:$D$74</c:f>
              <c:numCache>
                <c:formatCode>0.0</c:formatCode>
                <c:ptCount val="4"/>
                <c:pt idx="0">
                  <c:v>18.600000000000001</c:v>
                </c:pt>
                <c:pt idx="1">
                  <c:v>26.3</c:v>
                </c:pt>
                <c:pt idx="2">
                  <c:v>32.6</c:v>
                </c:pt>
                <c:pt idx="3">
                  <c:v>22.6</c:v>
                </c:pt>
              </c:numCache>
            </c:numRef>
          </c:val>
          <c:extLst>
            <c:ext xmlns:c16="http://schemas.microsoft.com/office/drawing/2014/chart" uri="{C3380CC4-5D6E-409C-BE32-E72D297353CC}">
              <c16:uniqueId val="{00000000-0867-45EC-AC94-80DD61B9F2CB}"/>
            </c:ext>
          </c:extLst>
        </c:ser>
        <c:ser>
          <c:idx val="1"/>
          <c:order val="1"/>
          <c:tx>
            <c:strRef>
              <c:f>'[ultimul excel xlsx.xlsx]mun020100'!$E$70</c:f>
              <c:strCache>
                <c:ptCount val="1"/>
                <c:pt idx="0">
                  <c:v>2023</c:v>
                </c:pt>
              </c:strCache>
            </c:strRef>
          </c:tx>
          <c:invertIfNegative val="0"/>
          <c:dLbls>
            <c:dLbl>
              <c:idx val="0"/>
              <c:layout>
                <c:manualLayout>
                  <c:x val="0"/>
                  <c:y val="-1.6460905349794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005-4898-B8D0-E63DACB74EC2}"/>
                </c:ext>
              </c:extLst>
            </c:dLbl>
            <c:dLbl>
              <c:idx val="3"/>
              <c:layout>
                <c:manualLayout>
                  <c:x val="-2.7777777777777779E-3"/>
                  <c:y val="1.09739368998628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005-4898-B8D0-E63DACB74EC2}"/>
                </c:ext>
              </c:extLst>
            </c:dLbl>
            <c:spPr>
              <a:noFill/>
              <a:ln>
                <a:noFill/>
              </a:ln>
              <a:effectLst/>
            </c:spPr>
            <c:txPr>
              <a:bodyPr wrap="square" lIns="38100" tIns="19050" rIns="38100" bIns="19050" anchor="ctr">
                <a:spAutoFit/>
              </a:bodyPr>
              <a:lstStyle/>
              <a:p>
                <a:pPr>
                  <a:defRPr sz="800" b="1" i="0" baseline="0">
                    <a:solidFill>
                      <a:srgbClr val="C00000"/>
                    </a:solidFill>
                    <a:latin typeface="Times New Roman" panose="02020603050405020304" pitchFamily="18" charset="0"/>
                    <a:cs typeface="Times New Roman" panose="02020603050405020304" pitchFamily="18" charset="0"/>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'[ultimul excel xlsx.xlsx]mun020100'!$C$71:$C$74</c:f>
              <c:strCache>
                <c:ptCount val="4"/>
                <c:pt idx="0">
                  <c:v>mun.Chişinău</c:v>
                </c:pt>
                <c:pt idx="1">
                  <c:v>Nord</c:v>
                </c:pt>
                <c:pt idx="2">
                  <c:v>Centru</c:v>
                </c:pt>
                <c:pt idx="3">
                  <c:v>Sud</c:v>
                </c:pt>
              </c:strCache>
            </c:strRef>
          </c:cat>
          <c:val>
            <c:numRef>
              <c:f>'[ultimul excel xlsx.xlsx]mun020100'!$E$71:$E$74</c:f>
              <c:numCache>
                <c:formatCode>0.0</c:formatCode>
                <c:ptCount val="4"/>
                <c:pt idx="0">
                  <c:v>23.5</c:v>
                </c:pt>
                <c:pt idx="1">
                  <c:v>25.3</c:v>
                </c:pt>
                <c:pt idx="2">
                  <c:v>30.4</c:v>
                </c:pt>
                <c:pt idx="3">
                  <c:v>20.7</c:v>
                </c:pt>
              </c:numCache>
            </c:numRef>
          </c:val>
          <c:extLst>
            <c:ext xmlns:c16="http://schemas.microsoft.com/office/drawing/2014/chart" uri="{C3380CC4-5D6E-409C-BE32-E72D297353CC}">
              <c16:uniqueId val="{00000001-0867-45EC-AC94-80DD61B9F2CB}"/>
            </c:ext>
          </c:extLst>
        </c:ser>
        <c:dLbls>
          <c:showLegendKey val="0"/>
          <c:showVal val="0"/>
          <c:showCatName val="0"/>
          <c:showSerName val="0"/>
          <c:showPercent val="0"/>
          <c:showBubbleSize val="0"/>
        </c:dLbls>
        <c:gapWidth val="150"/>
        <c:axId val="83816448"/>
        <c:axId val="83819904"/>
      </c:barChart>
      <c:catAx>
        <c:axId val="83816448"/>
        <c:scaling>
          <c:orientation val="minMax"/>
        </c:scaling>
        <c:delete val="0"/>
        <c:axPos val="b"/>
        <c:numFmt formatCode="General" sourceLinked="0"/>
        <c:majorTickMark val="out"/>
        <c:minorTickMark val="none"/>
        <c:tickLblPos val="nextTo"/>
        <c:txPr>
          <a:bodyPr/>
          <a:lstStyle/>
          <a:p>
            <a:pPr>
              <a:defRPr sz="900" baseline="0">
                <a:latin typeface="Times New Roman" panose="02020603050405020304" pitchFamily="18" charset="0"/>
                <a:cs typeface="Times New Roman" panose="02020603050405020304" pitchFamily="18" charset="0"/>
              </a:defRPr>
            </a:pPr>
            <a:endParaRPr lang="ro-MD"/>
          </a:p>
        </c:txPr>
        <c:crossAx val="83819904"/>
        <c:crosses val="autoZero"/>
        <c:auto val="1"/>
        <c:lblAlgn val="ctr"/>
        <c:lblOffset val="100"/>
        <c:noMultiLvlLbl val="0"/>
      </c:catAx>
      <c:valAx>
        <c:axId val="83819904"/>
        <c:scaling>
          <c:orientation val="minMax"/>
        </c:scaling>
        <c:delete val="0"/>
        <c:axPos val="l"/>
        <c:majorGridlines/>
        <c:numFmt formatCode="0.0" sourceLinked="1"/>
        <c:majorTickMark val="out"/>
        <c:minorTickMark val="none"/>
        <c:tickLblPos val="nextTo"/>
        <c:txPr>
          <a:bodyPr/>
          <a:lstStyle/>
          <a:p>
            <a:pPr>
              <a:defRPr sz="800" b="1" i="0" baseline="0">
                <a:latin typeface="Times New Roman" panose="02020603050405020304" pitchFamily="18" charset="0"/>
                <a:cs typeface="Times New Roman" panose="02020603050405020304" pitchFamily="18" charset="0"/>
              </a:defRPr>
            </a:pPr>
            <a:endParaRPr lang="ro-MD"/>
          </a:p>
        </c:txPr>
        <c:crossAx val="83816448"/>
        <c:crosses val="autoZero"/>
        <c:crossBetween val="between"/>
      </c:valAx>
    </c:plotArea>
    <c:legend>
      <c:legendPos val="b"/>
      <c:legendEntry>
        <c:idx val="0"/>
        <c:txPr>
          <a:bodyPr/>
          <a:lstStyle/>
          <a:p>
            <a:pPr>
              <a:defRPr sz="900" b="1" i="0" baseline="0">
                <a:solidFill>
                  <a:schemeClr val="tx2"/>
                </a:solidFill>
                <a:latin typeface="Times New Roman" panose="02020603050405020304" pitchFamily="18" charset="0"/>
                <a:cs typeface="Times New Roman" panose="02020603050405020304" pitchFamily="18" charset="0"/>
              </a:defRPr>
            </a:pPr>
            <a:endParaRPr lang="ro-MD"/>
          </a:p>
        </c:txPr>
      </c:legendEntry>
      <c:legendEntry>
        <c:idx val="1"/>
        <c:txPr>
          <a:bodyPr/>
          <a:lstStyle/>
          <a:p>
            <a:pPr>
              <a:defRPr sz="900" b="1" i="0" baseline="0">
                <a:solidFill>
                  <a:srgbClr val="C00000"/>
                </a:solidFill>
                <a:latin typeface="Times New Roman" panose="02020603050405020304" pitchFamily="18" charset="0"/>
                <a:cs typeface="Times New Roman" panose="02020603050405020304" pitchFamily="18" charset="0"/>
              </a:defRPr>
            </a:pPr>
            <a:endParaRPr lang="ro-MD"/>
          </a:p>
        </c:txPr>
      </c:legendEntry>
      <c:overlay val="0"/>
      <c:txPr>
        <a:bodyPr/>
        <a:lstStyle/>
        <a:p>
          <a:pPr>
            <a:defRPr sz="900">
              <a:latin typeface="Times New Roman" panose="02020603050405020304" pitchFamily="18" charset="0"/>
              <a:cs typeface="Times New Roman" panose="02020603050405020304" pitchFamily="18" charset="0"/>
            </a:defRPr>
          </a:pPr>
          <a:endParaRPr lang="ro-MD"/>
        </a:p>
      </c:txPr>
    </c:legend>
    <c:plotVisOnly val="1"/>
    <c:dispBlanksAs val="gap"/>
    <c:showDLblsOverMax val="0"/>
  </c:chart>
  <c:spPr>
    <a:ln>
      <a:solidFill>
        <a:schemeClr val="tx1"/>
      </a:solidFill>
    </a:ln>
  </c:sp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'[lucru raport 2021 (1).xlsx]9_ODD'!$M$28</c:f>
              <c:strCache>
                <c:ptCount val="1"/>
                <c:pt idx="0">
                  <c:v>2022</c:v>
                </c:pt>
              </c:strCache>
            </c:strRef>
          </c:tx>
          <c:invertIfNegative val="0"/>
          <c:dLbls>
            <c:dLbl>
              <c:idx val="0"/>
              <c:layout>
                <c:manualLayout>
                  <c:x val="-9.0403245048914348E-3"/>
                  <c:y val="9.4543445227241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869-415B-AC02-9D6222062F6D}"/>
                </c:ext>
              </c:extLst>
            </c:dLbl>
            <c:dLbl>
              <c:idx val="1"/>
              <c:layout>
                <c:manualLayout>
                  <c:x val="-1.3888888888888888E-2"/>
                  <c:y val="4.243778136006664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869-415B-AC02-9D6222062F6D}"/>
                </c:ext>
              </c:extLst>
            </c:dLbl>
            <c:dLbl>
              <c:idx val="4"/>
              <c:layout>
                <c:manualLayout>
                  <c:x val="-8.8887862048721399E-17"/>
                  <c:y val="1.40350877192982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A0D-4929-9A8A-E64320FF3163}"/>
                </c:ext>
              </c:extLst>
            </c:dLbl>
            <c:dLbl>
              <c:idx val="6"/>
              <c:layout>
                <c:manualLayout>
                  <c:x val="-8.3333333333333332E-3"/>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869-415B-AC02-9D6222062F6D}"/>
                </c:ext>
              </c:extLst>
            </c:dLbl>
            <c:dLbl>
              <c:idx val="7"/>
              <c:layout>
                <c:manualLayout>
                  <c:x val="-8.3333333333334356E-3"/>
                  <c:y val="1.38888888888888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869-415B-AC02-9D6222062F6D}"/>
                </c:ext>
              </c:extLst>
            </c:dLbl>
            <c:spPr>
              <a:noFill/>
              <a:ln>
                <a:noFill/>
              </a:ln>
              <a:effectLst/>
            </c:spPr>
            <c:txPr>
              <a:bodyPr wrap="square" lIns="38100" tIns="19050" rIns="38100" bIns="19050" anchor="ctr">
                <a:spAutoFit/>
              </a:bodyPr>
              <a:lstStyle/>
              <a:p>
                <a:pPr>
                  <a:defRPr sz="800" b="1" i="0" baseline="0">
                    <a:solidFill>
                      <a:schemeClr val="tx2"/>
                    </a:solidFill>
                    <a:latin typeface="Times New Roman" panose="02020603050405020304" pitchFamily="18" charset="0"/>
                    <a:cs typeface="Times New Roman" panose="02020603050405020304" pitchFamily="18" charset="0"/>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'[lucru raport 2021 (1).xlsx]9_ODD'!$K$29:$L$37</c:f>
              <c:multiLvlStrCache>
                <c:ptCount val="9"/>
                <c:lvl>
                  <c:pt idx="0">
                    <c:v>Total</c:v>
                  </c:pt>
                  <c:pt idx="1">
                    <c:v>Bărbați</c:v>
                  </c:pt>
                  <c:pt idx="2">
                    <c:v>Femei</c:v>
                  </c:pt>
                  <c:pt idx="3">
                    <c:v>Total</c:v>
                  </c:pt>
                  <c:pt idx="4">
                    <c:v>Bărbați</c:v>
                  </c:pt>
                  <c:pt idx="5">
                    <c:v>Femei</c:v>
                  </c:pt>
                  <c:pt idx="6">
                    <c:v>Total</c:v>
                  </c:pt>
                  <c:pt idx="7">
                    <c:v>Bărbați</c:v>
                  </c:pt>
                  <c:pt idx="8">
                    <c:v>Femei</c:v>
                  </c:pt>
                </c:lvl>
                <c:lvl>
                  <c:pt idx="0">
                    <c:v>15-24 ani
</c:v>
                  </c:pt>
                  <c:pt idx="3">
                    <c:v>15-29 ani
</c:v>
                  </c:pt>
                  <c:pt idx="6">
                    <c:v>15-34 ani
</c:v>
                  </c:pt>
                </c:lvl>
              </c:multiLvlStrCache>
            </c:multiLvlStrRef>
          </c:cat>
          <c:val>
            <c:numRef>
              <c:f>'[lucru raport 2021 (1).xlsx]9_ODD'!$M$29:$M$37</c:f>
              <c:numCache>
                <c:formatCode>0.0</c:formatCode>
                <c:ptCount val="9"/>
                <c:pt idx="0">
                  <c:v>17.2</c:v>
                </c:pt>
                <c:pt idx="1">
                  <c:v>13.5</c:v>
                </c:pt>
                <c:pt idx="2">
                  <c:v>20.8</c:v>
                </c:pt>
                <c:pt idx="3">
                  <c:v>26.2</c:v>
                </c:pt>
                <c:pt idx="4">
                  <c:v>17.5</c:v>
                </c:pt>
                <c:pt idx="5">
                  <c:v>34.6</c:v>
                </c:pt>
                <c:pt idx="6">
                  <c:v>29.7</c:v>
                </c:pt>
                <c:pt idx="7">
                  <c:v>19.5</c:v>
                </c:pt>
                <c:pt idx="8">
                  <c:v>39.4</c:v>
                </c:pt>
              </c:numCache>
            </c:numRef>
          </c:val>
          <c:extLst>
            <c:ext xmlns:c16="http://schemas.microsoft.com/office/drawing/2014/chart" uri="{C3380CC4-5D6E-409C-BE32-E72D297353CC}">
              <c16:uniqueId val="{00000004-2869-415B-AC02-9D6222062F6D}"/>
            </c:ext>
          </c:extLst>
        </c:ser>
        <c:ser>
          <c:idx val="1"/>
          <c:order val="1"/>
          <c:tx>
            <c:strRef>
              <c:f>'[lucru raport 2021 (1).xlsx]9_ODD'!$N$28</c:f>
              <c:strCache>
                <c:ptCount val="1"/>
                <c:pt idx="0">
                  <c:v>2023</c:v>
                </c:pt>
              </c:strCache>
            </c:strRef>
          </c:tx>
          <c:invertIfNegative val="0"/>
          <c:dLbls>
            <c:dLbl>
              <c:idx val="1"/>
              <c:layout>
                <c:manualLayout>
                  <c:x val="8.3333333333333332E-3"/>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869-415B-AC02-9D6222062F6D}"/>
                </c:ext>
              </c:extLst>
            </c:dLbl>
            <c:dLbl>
              <c:idx val="2"/>
              <c:layout>
                <c:manualLayout>
                  <c:x val="1.6666666666666666E-2"/>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869-415B-AC02-9D6222062F6D}"/>
                </c:ext>
              </c:extLst>
            </c:dLbl>
            <c:dLbl>
              <c:idx val="3"/>
              <c:layout>
                <c:manualLayout>
                  <c:x val="1.5606012884753042E-2"/>
                  <c:y val="2.32455679882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869-415B-AC02-9D6222062F6D}"/>
                </c:ext>
              </c:extLst>
            </c:dLbl>
            <c:dLbl>
              <c:idx val="4"/>
              <c:layout>
                <c:manualLayout>
                  <c:x val="7.3233118587449292E-3"/>
                  <c:y val="1.38888428420131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869-415B-AC02-9D6222062F6D}"/>
                </c:ext>
              </c:extLst>
            </c:dLbl>
            <c:dLbl>
              <c:idx val="5"/>
              <c:layout>
                <c:manualLayout>
                  <c:x val="8.333333333333333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869-415B-AC02-9D6222062F6D}"/>
                </c:ext>
              </c:extLst>
            </c:dLbl>
            <c:dLbl>
              <c:idx val="6"/>
              <c:layout>
                <c:manualLayout>
                  <c:x val="1.7373610116917203E-2"/>
                  <c:y val="1.87130819173919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869-415B-AC02-9D6222062F6D}"/>
                </c:ext>
              </c:extLst>
            </c:dLbl>
            <c:dLbl>
              <c:idx val="7"/>
              <c:layout>
                <c:manualLayout>
                  <c:x val="1.2121212121211944E-2"/>
                  <c:y val="1.40350877192982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553-4BCB-A408-CC77ADB4E3EF}"/>
                </c:ext>
              </c:extLst>
            </c:dLbl>
            <c:dLbl>
              <c:idx val="8"/>
              <c:layout>
                <c:manualLayout>
                  <c:x val="1.0454593175852841E-2"/>
                  <c:y val="4.678362573099415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869-415B-AC02-9D6222062F6D}"/>
                </c:ext>
              </c:extLst>
            </c:dLbl>
            <c:spPr>
              <a:noFill/>
              <a:ln>
                <a:noFill/>
              </a:ln>
              <a:effectLst/>
            </c:spPr>
            <c:txPr>
              <a:bodyPr wrap="square" lIns="38100" tIns="19050" rIns="38100" bIns="19050" anchor="ctr">
                <a:spAutoFit/>
              </a:bodyPr>
              <a:lstStyle/>
              <a:p>
                <a:pPr>
                  <a:defRPr sz="800" b="1" i="0" baseline="0">
                    <a:solidFill>
                      <a:srgbClr val="C00000"/>
                    </a:solidFill>
                    <a:latin typeface="Times New Roman" panose="02020603050405020304" pitchFamily="18" charset="0"/>
                    <a:cs typeface="Times New Roman" panose="02020603050405020304" pitchFamily="18" charset="0"/>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'[lucru raport 2021 (1).xlsx]9_ODD'!$K$29:$L$37</c:f>
              <c:multiLvlStrCache>
                <c:ptCount val="9"/>
                <c:lvl>
                  <c:pt idx="0">
                    <c:v>Total</c:v>
                  </c:pt>
                  <c:pt idx="1">
                    <c:v>Bărbați</c:v>
                  </c:pt>
                  <c:pt idx="2">
                    <c:v>Femei</c:v>
                  </c:pt>
                  <c:pt idx="3">
                    <c:v>Total</c:v>
                  </c:pt>
                  <c:pt idx="4">
                    <c:v>Bărbați</c:v>
                  </c:pt>
                  <c:pt idx="5">
                    <c:v>Femei</c:v>
                  </c:pt>
                  <c:pt idx="6">
                    <c:v>Total</c:v>
                  </c:pt>
                  <c:pt idx="7">
                    <c:v>Bărbați</c:v>
                  </c:pt>
                  <c:pt idx="8">
                    <c:v>Femei</c:v>
                  </c:pt>
                </c:lvl>
                <c:lvl>
                  <c:pt idx="0">
                    <c:v>15-24 ani
</c:v>
                  </c:pt>
                  <c:pt idx="3">
                    <c:v>15-29 ani
</c:v>
                  </c:pt>
                  <c:pt idx="6">
                    <c:v>15-34 ani
</c:v>
                  </c:pt>
                </c:lvl>
              </c:multiLvlStrCache>
            </c:multiLvlStrRef>
          </c:cat>
          <c:val>
            <c:numRef>
              <c:f>'[lucru raport 2021 (1).xlsx]9_ODD'!$N$29:$N$37</c:f>
              <c:numCache>
                <c:formatCode>0.0</c:formatCode>
                <c:ptCount val="9"/>
                <c:pt idx="0">
                  <c:v>13.8</c:v>
                </c:pt>
                <c:pt idx="1">
                  <c:v>11.5</c:v>
                </c:pt>
                <c:pt idx="2">
                  <c:v>16.100000000000001</c:v>
                </c:pt>
                <c:pt idx="3">
                  <c:v>23.1</c:v>
                </c:pt>
                <c:pt idx="4">
                  <c:v>15.3</c:v>
                </c:pt>
                <c:pt idx="5">
                  <c:v>30.3</c:v>
                </c:pt>
                <c:pt idx="6">
                  <c:v>27.6</c:v>
                </c:pt>
                <c:pt idx="7">
                  <c:v>19.3</c:v>
                </c:pt>
                <c:pt idx="8">
                  <c:v>35.200000000000003</c:v>
                </c:pt>
              </c:numCache>
            </c:numRef>
          </c:val>
          <c:extLst>
            <c:ext xmlns:c16="http://schemas.microsoft.com/office/drawing/2014/chart" uri="{C3380CC4-5D6E-409C-BE32-E72D297353CC}">
              <c16:uniqueId val="{0000000C-2869-415B-AC02-9D6222062F6D}"/>
            </c:ext>
          </c:extLst>
        </c:ser>
        <c:dLbls>
          <c:showLegendKey val="0"/>
          <c:showVal val="0"/>
          <c:showCatName val="0"/>
          <c:showSerName val="0"/>
          <c:showPercent val="0"/>
          <c:showBubbleSize val="0"/>
        </c:dLbls>
        <c:gapWidth val="150"/>
        <c:axId val="50662400"/>
        <c:axId val="109703936"/>
      </c:barChart>
      <c:catAx>
        <c:axId val="50662400"/>
        <c:scaling>
          <c:orientation val="minMax"/>
        </c:scaling>
        <c:delete val="0"/>
        <c:axPos val="b"/>
        <c:numFmt formatCode="General" sourceLinked="0"/>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ro-MD"/>
          </a:p>
        </c:txPr>
        <c:crossAx val="109703936"/>
        <c:crosses val="autoZero"/>
        <c:auto val="1"/>
        <c:lblAlgn val="ctr"/>
        <c:lblOffset val="100"/>
        <c:noMultiLvlLbl val="0"/>
      </c:catAx>
      <c:valAx>
        <c:axId val="109703936"/>
        <c:scaling>
          <c:orientation val="minMax"/>
          <c:max val="40"/>
        </c:scaling>
        <c:delete val="0"/>
        <c:axPos val="l"/>
        <c:majorGridlines/>
        <c:numFmt formatCode="0.0" sourceLinked="1"/>
        <c:majorTickMark val="out"/>
        <c:minorTickMark val="none"/>
        <c:tickLblPos val="nextTo"/>
        <c:txPr>
          <a:bodyPr/>
          <a:lstStyle/>
          <a:p>
            <a:pPr>
              <a:defRPr sz="900" b="1" i="0" baseline="0">
                <a:latin typeface="Times New Roman" panose="02020603050405020304" pitchFamily="18" charset="0"/>
                <a:cs typeface="Times New Roman" panose="02020603050405020304" pitchFamily="18" charset="0"/>
              </a:defRPr>
            </a:pPr>
            <a:endParaRPr lang="ro-MD"/>
          </a:p>
        </c:txPr>
        <c:crossAx val="50662400"/>
        <c:crosses val="autoZero"/>
        <c:crossBetween val="between"/>
      </c:valAx>
    </c:plotArea>
    <c:legend>
      <c:legendPos val="b"/>
      <c:legendEntry>
        <c:idx val="0"/>
        <c:txPr>
          <a:bodyPr/>
          <a:lstStyle/>
          <a:p>
            <a:pPr>
              <a:defRPr sz="900" b="1" i="0" baseline="0">
                <a:solidFill>
                  <a:schemeClr val="tx2"/>
                </a:solidFill>
                <a:latin typeface="Times New Roman" panose="02020603050405020304" pitchFamily="18" charset="0"/>
                <a:cs typeface="Times New Roman" panose="02020603050405020304" pitchFamily="18" charset="0"/>
              </a:defRPr>
            </a:pPr>
            <a:endParaRPr lang="ro-MD"/>
          </a:p>
        </c:txPr>
      </c:legendEntry>
      <c:legendEntry>
        <c:idx val="1"/>
        <c:txPr>
          <a:bodyPr/>
          <a:lstStyle/>
          <a:p>
            <a:pPr>
              <a:defRPr sz="900" b="1" i="0" baseline="0">
                <a:solidFill>
                  <a:srgbClr val="C00000"/>
                </a:solidFill>
                <a:latin typeface="Times New Roman" panose="02020603050405020304" pitchFamily="18" charset="0"/>
                <a:cs typeface="Times New Roman" panose="02020603050405020304" pitchFamily="18" charset="0"/>
              </a:defRPr>
            </a:pPr>
            <a:endParaRPr lang="ro-MD"/>
          </a:p>
        </c:txPr>
      </c:legendEntry>
      <c:overlay val="0"/>
      <c:txPr>
        <a:bodyPr/>
        <a:lstStyle/>
        <a:p>
          <a:pPr>
            <a:defRPr sz="900">
              <a:latin typeface="Times New Roman" panose="02020603050405020304" pitchFamily="18" charset="0"/>
              <a:cs typeface="Times New Roman" panose="02020603050405020304" pitchFamily="18" charset="0"/>
            </a:defRPr>
          </a:pPr>
          <a:endParaRPr lang="ro-MD"/>
        </a:p>
      </c:txPr>
    </c:legend>
    <c:plotVisOnly val="1"/>
    <c:dispBlanksAs val="gap"/>
    <c:showDLblsOverMax val="0"/>
  </c:chart>
  <c:spPr>
    <a:ln>
      <a:solidFill>
        <a:schemeClr val="tx1"/>
      </a:solid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4128474545638997E-2"/>
          <c:y val="7.5349799516102836E-2"/>
          <c:w val="0.86740538533567735"/>
          <c:h val="0.69334393461403643"/>
        </c:manualLayout>
      </c:layout>
      <c:barChart>
        <c:barDir val="col"/>
        <c:grouping val="clustered"/>
        <c:varyColors val="0"/>
        <c:ser>
          <c:idx val="0"/>
          <c:order val="0"/>
          <c:tx>
            <c:strRef>
              <c:f>'[Grafice_PRO_01_01_23_nivel_tara.xlsx]Figura 3'!$B$22</c:f>
              <c:strCache>
                <c:ptCount val="1"/>
                <c:pt idx="0">
                  <c:v>2022</c:v>
                </c:pt>
              </c:strCache>
            </c:strRef>
          </c:tx>
          <c:spPr>
            <a:solidFill>
              <a:srgbClr val="9E0000"/>
            </a:solidFill>
            <a:ln>
              <a:noFill/>
            </a:ln>
            <a:effectLst/>
          </c:spPr>
          <c:invertIfNegative val="0"/>
          <c:cat>
            <c:strRef>
              <c:f>'[Grafice_PRO_01_01_23_nivel_tara.xlsx]Figura 3'!$A$23:$A$40</c:f>
              <c:strCache>
                <c:ptCount val="18"/>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c:v>
                </c:pt>
              </c:strCache>
            </c:strRef>
          </c:cat>
          <c:val>
            <c:numRef>
              <c:f>'[Grafice_PRO_01_01_23_nivel_tara.xlsx]Figura 3'!$B$23:$B$40</c:f>
              <c:numCache>
                <c:formatCode>0.00</c:formatCode>
                <c:ptCount val="18"/>
                <c:pt idx="0">
                  <c:v>5.6686276573763266</c:v>
                </c:pt>
                <c:pt idx="1">
                  <c:v>6.5350112864177028</c:v>
                </c:pt>
                <c:pt idx="2">
                  <c:v>6.0752895677633401</c:v>
                </c:pt>
                <c:pt idx="3">
                  <c:v>5.2486325695995761</c:v>
                </c:pt>
                <c:pt idx="4">
                  <c:v>4.787975189374003</c:v>
                </c:pt>
                <c:pt idx="5">
                  <c:v>6.3760657770084563</c:v>
                </c:pt>
                <c:pt idx="6">
                  <c:v>7.8207272429562229</c:v>
                </c:pt>
                <c:pt idx="7">
                  <c:v>8.0287949848539775</c:v>
                </c:pt>
                <c:pt idx="8">
                  <c:v>6.8560601630390297</c:v>
                </c:pt>
                <c:pt idx="9">
                  <c:v>6.6012093425807885</c:v>
                </c:pt>
                <c:pt idx="10">
                  <c:v>6.2559112369056118</c:v>
                </c:pt>
                <c:pt idx="11">
                  <c:v>6.7452232527494802</c:v>
                </c:pt>
                <c:pt idx="12">
                  <c:v>7.7027559131862002</c:v>
                </c:pt>
                <c:pt idx="13">
                  <c:v>6.2298296706081411</c:v>
                </c:pt>
                <c:pt idx="14">
                  <c:v>4.7802949673103239</c:v>
                </c:pt>
                <c:pt idx="15">
                  <c:v>1.9216539377707083</c:v>
                </c:pt>
                <c:pt idx="16">
                  <c:v>1.552886321017688</c:v>
                </c:pt>
                <c:pt idx="17">
                  <c:v>0.81305091948242325</c:v>
                </c:pt>
              </c:numCache>
            </c:numRef>
          </c:val>
          <c:extLst>
            <c:ext xmlns:c16="http://schemas.microsoft.com/office/drawing/2014/chart" uri="{C3380CC4-5D6E-409C-BE32-E72D297353CC}">
              <c16:uniqueId val="{00000000-8DA9-484B-BD14-2895677EA4D3}"/>
            </c:ext>
          </c:extLst>
        </c:ser>
        <c:ser>
          <c:idx val="1"/>
          <c:order val="1"/>
          <c:tx>
            <c:strRef>
              <c:f>'[Grafice_PRO_01_01_23_nivel_tara.xlsx]Figura 3'!$C$22</c:f>
              <c:strCache>
                <c:ptCount val="1"/>
                <c:pt idx="0">
                  <c:v>2023</c:v>
                </c:pt>
              </c:strCache>
            </c:strRef>
          </c:tx>
          <c:spPr>
            <a:solidFill>
              <a:schemeClr val="accent1"/>
            </a:solidFill>
            <a:ln>
              <a:noFill/>
            </a:ln>
            <a:effectLst/>
          </c:spPr>
          <c:invertIfNegative val="0"/>
          <c:cat>
            <c:strRef>
              <c:f>'[Grafice_PRO_01_01_23_nivel_tara.xlsx]Figura 3'!$A$23:$A$40</c:f>
              <c:strCache>
                <c:ptCount val="18"/>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c:v>
                </c:pt>
              </c:strCache>
            </c:strRef>
          </c:cat>
          <c:val>
            <c:numRef>
              <c:f>'[Grafice_PRO_01_01_23_nivel_tara.xlsx]Figura 3'!$C$23:$C$40</c:f>
              <c:numCache>
                <c:formatCode>0.00</c:formatCode>
                <c:ptCount val="18"/>
                <c:pt idx="0">
                  <c:v>5.3691203052582059</c:v>
                </c:pt>
                <c:pt idx="1">
                  <c:v>6.5299165299642858</c:v>
                </c:pt>
                <c:pt idx="2">
                  <c:v>6.1386731233170888</c:v>
                </c:pt>
                <c:pt idx="3">
                  <c:v>5.3742939033524113</c:v>
                </c:pt>
                <c:pt idx="4">
                  <c:v>4.4884545188991538</c:v>
                </c:pt>
                <c:pt idx="5">
                  <c:v>5.8664224728366205</c:v>
                </c:pt>
                <c:pt idx="6">
                  <c:v>7.5561594073126033</c:v>
                </c:pt>
                <c:pt idx="7">
                  <c:v>8.2375620732279042</c:v>
                </c:pt>
                <c:pt idx="8">
                  <c:v>7.0813424929897746</c:v>
                </c:pt>
                <c:pt idx="9">
                  <c:v>6.5648980124628</c:v>
                </c:pt>
                <c:pt idx="10">
                  <c:v>6.3683410817914021</c:v>
                </c:pt>
                <c:pt idx="11">
                  <c:v>6.6152411016102626</c:v>
                </c:pt>
                <c:pt idx="12">
                  <c:v>7.7513632430978241</c:v>
                </c:pt>
                <c:pt idx="13">
                  <c:v>6.4822398336807598</c:v>
                </c:pt>
                <c:pt idx="14">
                  <c:v>5.2697872218494579</c:v>
                </c:pt>
                <c:pt idx="15">
                  <c:v>1.9147088577570939</c:v>
                </c:pt>
                <c:pt idx="16">
                  <c:v>1.5733309773563551</c:v>
                </c:pt>
                <c:pt idx="17">
                  <c:v>0.81814484323599801</c:v>
                </c:pt>
              </c:numCache>
            </c:numRef>
          </c:val>
          <c:extLst>
            <c:ext xmlns:c16="http://schemas.microsoft.com/office/drawing/2014/chart" uri="{C3380CC4-5D6E-409C-BE32-E72D297353CC}">
              <c16:uniqueId val="{00000001-8DA9-484B-BD14-2895677EA4D3}"/>
            </c:ext>
          </c:extLst>
        </c:ser>
        <c:dLbls>
          <c:showLegendKey val="0"/>
          <c:showVal val="0"/>
          <c:showCatName val="0"/>
          <c:showSerName val="0"/>
          <c:showPercent val="0"/>
          <c:showBubbleSize val="0"/>
        </c:dLbls>
        <c:gapWidth val="125"/>
        <c:overlap val="-28"/>
        <c:axId val="1434192719"/>
        <c:axId val="1434195631"/>
      </c:barChart>
      <c:lineChart>
        <c:grouping val="standard"/>
        <c:varyColors val="0"/>
        <c:ser>
          <c:idx val="2"/>
          <c:order val="2"/>
          <c:tx>
            <c:strRef>
              <c:f>'[Grafice_PRO_01_01_23_nivel_tara.xlsx]Figura 3'!$D$22</c:f>
              <c:strCache>
                <c:ptCount val="1"/>
                <c:pt idx="0">
                  <c:v>diferența</c:v>
                </c:pt>
              </c:strCache>
            </c:strRef>
          </c:tx>
          <c:spPr>
            <a:ln w="28575" cap="rnd">
              <a:solidFill>
                <a:schemeClr val="accent1">
                  <a:tint val="65000"/>
                </a:schemeClr>
              </a:solidFill>
              <a:round/>
            </a:ln>
            <a:effectLst/>
          </c:spPr>
          <c:marker>
            <c:symbol val="triangle"/>
            <c:size val="5"/>
            <c:spPr>
              <a:solidFill>
                <a:srgbClr val="00B050"/>
              </a:solidFill>
              <a:ln w="9525">
                <a:solidFill>
                  <a:schemeClr val="accent1">
                    <a:tint val="65000"/>
                  </a:schemeClr>
                </a:solidFill>
              </a:ln>
              <a:effectLst/>
            </c:spPr>
          </c:marker>
          <c:dPt>
            <c:idx val="1"/>
            <c:marker>
              <c:symbol val="triangle"/>
              <c:size val="5"/>
              <c:spPr>
                <a:solidFill>
                  <a:srgbClr val="00B050"/>
                </a:solidFill>
                <a:ln w="9525">
                  <a:solidFill>
                    <a:schemeClr val="accent1">
                      <a:tint val="65000"/>
                    </a:schemeClr>
                  </a:solidFill>
                </a:ln>
                <a:effectLst/>
              </c:spPr>
            </c:marker>
            <c:bubble3D val="0"/>
            <c:spPr>
              <a:ln w="28575" cap="rnd">
                <a:solidFill>
                  <a:srgbClr val="00B050"/>
                </a:solidFill>
                <a:round/>
              </a:ln>
              <a:effectLst/>
            </c:spPr>
            <c:extLst>
              <c:ext xmlns:c16="http://schemas.microsoft.com/office/drawing/2014/chart" uri="{C3380CC4-5D6E-409C-BE32-E72D297353CC}">
                <c16:uniqueId val="{00000003-8DA9-484B-BD14-2895677EA4D3}"/>
              </c:ext>
            </c:extLst>
          </c:dPt>
          <c:dPt>
            <c:idx val="2"/>
            <c:marker>
              <c:symbol val="triangle"/>
              <c:size val="5"/>
              <c:spPr>
                <a:solidFill>
                  <a:srgbClr val="00B050"/>
                </a:solidFill>
                <a:ln w="9525">
                  <a:solidFill>
                    <a:schemeClr val="accent1">
                      <a:tint val="65000"/>
                    </a:schemeClr>
                  </a:solidFill>
                </a:ln>
                <a:effectLst/>
              </c:spPr>
            </c:marker>
            <c:bubble3D val="0"/>
            <c:spPr>
              <a:ln w="28575" cap="rnd">
                <a:solidFill>
                  <a:srgbClr val="00B050"/>
                </a:solidFill>
                <a:round/>
              </a:ln>
              <a:effectLst/>
            </c:spPr>
            <c:extLst>
              <c:ext xmlns:c16="http://schemas.microsoft.com/office/drawing/2014/chart" uri="{C3380CC4-5D6E-409C-BE32-E72D297353CC}">
                <c16:uniqueId val="{00000005-8DA9-484B-BD14-2895677EA4D3}"/>
              </c:ext>
            </c:extLst>
          </c:dPt>
          <c:dPt>
            <c:idx val="3"/>
            <c:marker>
              <c:symbol val="triangle"/>
              <c:size val="5"/>
              <c:spPr>
                <a:solidFill>
                  <a:srgbClr val="00B050"/>
                </a:solidFill>
                <a:ln w="9525">
                  <a:solidFill>
                    <a:schemeClr val="accent1">
                      <a:tint val="65000"/>
                    </a:schemeClr>
                  </a:solidFill>
                </a:ln>
                <a:effectLst/>
              </c:spPr>
            </c:marker>
            <c:bubble3D val="0"/>
            <c:spPr>
              <a:ln w="28575" cap="rnd">
                <a:solidFill>
                  <a:srgbClr val="00B050"/>
                </a:solidFill>
                <a:round/>
              </a:ln>
              <a:effectLst/>
            </c:spPr>
            <c:extLst>
              <c:ext xmlns:c16="http://schemas.microsoft.com/office/drawing/2014/chart" uri="{C3380CC4-5D6E-409C-BE32-E72D297353CC}">
                <c16:uniqueId val="{00000007-8DA9-484B-BD14-2895677EA4D3}"/>
              </c:ext>
            </c:extLst>
          </c:dPt>
          <c:dPt>
            <c:idx val="4"/>
            <c:marker>
              <c:symbol val="triangle"/>
              <c:size val="5"/>
              <c:spPr>
                <a:solidFill>
                  <a:srgbClr val="00B050"/>
                </a:solidFill>
                <a:ln w="9525">
                  <a:solidFill>
                    <a:schemeClr val="accent1">
                      <a:tint val="65000"/>
                    </a:schemeClr>
                  </a:solidFill>
                </a:ln>
                <a:effectLst/>
              </c:spPr>
            </c:marker>
            <c:bubble3D val="0"/>
            <c:spPr>
              <a:ln w="28575" cap="rnd">
                <a:solidFill>
                  <a:srgbClr val="00B050"/>
                </a:solidFill>
                <a:round/>
              </a:ln>
              <a:effectLst/>
            </c:spPr>
            <c:extLst>
              <c:ext xmlns:c16="http://schemas.microsoft.com/office/drawing/2014/chart" uri="{C3380CC4-5D6E-409C-BE32-E72D297353CC}">
                <c16:uniqueId val="{00000009-8DA9-484B-BD14-2895677EA4D3}"/>
              </c:ext>
            </c:extLst>
          </c:dPt>
          <c:dPt>
            <c:idx val="5"/>
            <c:marker>
              <c:symbol val="triangle"/>
              <c:size val="5"/>
              <c:spPr>
                <a:solidFill>
                  <a:srgbClr val="00B050"/>
                </a:solidFill>
                <a:ln w="9525">
                  <a:solidFill>
                    <a:schemeClr val="accent1">
                      <a:tint val="65000"/>
                    </a:schemeClr>
                  </a:solidFill>
                </a:ln>
                <a:effectLst/>
              </c:spPr>
            </c:marker>
            <c:bubble3D val="0"/>
            <c:spPr>
              <a:ln w="28575" cap="rnd">
                <a:solidFill>
                  <a:srgbClr val="00B050"/>
                </a:solidFill>
                <a:round/>
              </a:ln>
              <a:effectLst/>
            </c:spPr>
            <c:extLst>
              <c:ext xmlns:c16="http://schemas.microsoft.com/office/drawing/2014/chart" uri="{C3380CC4-5D6E-409C-BE32-E72D297353CC}">
                <c16:uniqueId val="{0000000B-8DA9-484B-BD14-2895677EA4D3}"/>
              </c:ext>
            </c:extLst>
          </c:dPt>
          <c:dPt>
            <c:idx val="6"/>
            <c:marker>
              <c:symbol val="triangle"/>
              <c:size val="5"/>
              <c:spPr>
                <a:solidFill>
                  <a:srgbClr val="00B050"/>
                </a:solidFill>
                <a:ln w="9525">
                  <a:solidFill>
                    <a:schemeClr val="accent1">
                      <a:tint val="65000"/>
                    </a:schemeClr>
                  </a:solidFill>
                </a:ln>
                <a:effectLst/>
              </c:spPr>
            </c:marker>
            <c:bubble3D val="0"/>
            <c:spPr>
              <a:ln w="28575" cap="rnd">
                <a:solidFill>
                  <a:srgbClr val="00B050"/>
                </a:solidFill>
                <a:round/>
              </a:ln>
              <a:effectLst/>
            </c:spPr>
            <c:extLst>
              <c:ext xmlns:c16="http://schemas.microsoft.com/office/drawing/2014/chart" uri="{C3380CC4-5D6E-409C-BE32-E72D297353CC}">
                <c16:uniqueId val="{0000000D-8DA9-484B-BD14-2895677EA4D3}"/>
              </c:ext>
            </c:extLst>
          </c:dPt>
          <c:dPt>
            <c:idx val="7"/>
            <c:marker>
              <c:symbol val="triangle"/>
              <c:size val="5"/>
              <c:spPr>
                <a:solidFill>
                  <a:srgbClr val="00B050"/>
                </a:solidFill>
                <a:ln w="9525">
                  <a:solidFill>
                    <a:schemeClr val="accent1">
                      <a:tint val="65000"/>
                    </a:schemeClr>
                  </a:solidFill>
                </a:ln>
                <a:effectLst/>
              </c:spPr>
            </c:marker>
            <c:bubble3D val="0"/>
            <c:spPr>
              <a:ln w="28575" cap="rnd">
                <a:solidFill>
                  <a:srgbClr val="00B050"/>
                </a:solidFill>
                <a:round/>
              </a:ln>
              <a:effectLst/>
            </c:spPr>
            <c:extLst>
              <c:ext xmlns:c16="http://schemas.microsoft.com/office/drawing/2014/chart" uri="{C3380CC4-5D6E-409C-BE32-E72D297353CC}">
                <c16:uniqueId val="{0000000F-8DA9-484B-BD14-2895677EA4D3}"/>
              </c:ext>
            </c:extLst>
          </c:dPt>
          <c:dPt>
            <c:idx val="8"/>
            <c:marker>
              <c:symbol val="triangle"/>
              <c:size val="5"/>
              <c:spPr>
                <a:solidFill>
                  <a:srgbClr val="00B050"/>
                </a:solidFill>
                <a:ln w="9525">
                  <a:solidFill>
                    <a:schemeClr val="accent1">
                      <a:tint val="65000"/>
                    </a:schemeClr>
                  </a:solidFill>
                </a:ln>
                <a:effectLst/>
              </c:spPr>
            </c:marker>
            <c:bubble3D val="0"/>
            <c:spPr>
              <a:ln w="28575" cap="rnd">
                <a:solidFill>
                  <a:srgbClr val="00B050"/>
                </a:solidFill>
                <a:round/>
              </a:ln>
              <a:effectLst/>
            </c:spPr>
            <c:extLst>
              <c:ext xmlns:c16="http://schemas.microsoft.com/office/drawing/2014/chart" uri="{C3380CC4-5D6E-409C-BE32-E72D297353CC}">
                <c16:uniqueId val="{00000011-8DA9-484B-BD14-2895677EA4D3}"/>
              </c:ext>
            </c:extLst>
          </c:dPt>
          <c:dPt>
            <c:idx val="9"/>
            <c:marker>
              <c:symbol val="triangle"/>
              <c:size val="5"/>
              <c:spPr>
                <a:solidFill>
                  <a:srgbClr val="00B050"/>
                </a:solidFill>
                <a:ln w="9525">
                  <a:solidFill>
                    <a:schemeClr val="accent1">
                      <a:tint val="65000"/>
                    </a:schemeClr>
                  </a:solidFill>
                </a:ln>
                <a:effectLst/>
              </c:spPr>
            </c:marker>
            <c:bubble3D val="0"/>
            <c:spPr>
              <a:ln w="28575" cap="rnd">
                <a:solidFill>
                  <a:srgbClr val="00B050"/>
                </a:solidFill>
                <a:round/>
              </a:ln>
              <a:effectLst/>
            </c:spPr>
            <c:extLst>
              <c:ext xmlns:c16="http://schemas.microsoft.com/office/drawing/2014/chart" uri="{C3380CC4-5D6E-409C-BE32-E72D297353CC}">
                <c16:uniqueId val="{00000013-8DA9-484B-BD14-2895677EA4D3}"/>
              </c:ext>
            </c:extLst>
          </c:dPt>
          <c:dPt>
            <c:idx val="10"/>
            <c:marker>
              <c:symbol val="triangle"/>
              <c:size val="5"/>
              <c:spPr>
                <a:solidFill>
                  <a:srgbClr val="00B050"/>
                </a:solidFill>
                <a:ln w="9525">
                  <a:solidFill>
                    <a:schemeClr val="accent1">
                      <a:tint val="65000"/>
                    </a:schemeClr>
                  </a:solidFill>
                </a:ln>
                <a:effectLst/>
              </c:spPr>
            </c:marker>
            <c:bubble3D val="0"/>
            <c:spPr>
              <a:ln w="28575" cap="rnd">
                <a:solidFill>
                  <a:srgbClr val="00B050"/>
                </a:solidFill>
                <a:round/>
              </a:ln>
              <a:effectLst/>
            </c:spPr>
            <c:extLst>
              <c:ext xmlns:c16="http://schemas.microsoft.com/office/drawing/2014/chart" uri="{C3380CC4-5D6E-409C-BE32-E72D297353CC}">
                <c16:uniqueId val="{00000015-8DA9-484B-BD14-2895677EA4D3}"/>
              </c:ext>
            </c:extLst>
          </c:dPt>
          <c:dPt>
            <c:idx val="11"/>
            <c:marker>
              <c:symbol val="triangle"/>
              <c:size val="5"/>
              <c:spPr>
                <a:solidFill>
                  <a:srgbClr val="00B050"/>
                </a:solidFill>
                <a:ln w="9525">
                  <a:solidFill>
                    <a:schemeClr val="accent1">
                      <a:tint val="65000"/>
                    </a:schemeClr>
                  </a:solidFill>
                </a:ln>
                <a:effectLst/>
              </c:spPr>
            </c:marker>
            <c:bubble3D val="0"/>
            <c:spPr>
              <a:ln w="28575" cap="rnd">
                <a:solidFill>
                  <a:srgbClr val="00B050"/>
                </a:solidFill>
                <a:round/>
              </a:ln>
              <a:effectLst/>
            </c:spPr>
            <c:extLst>
              <c:ext xmlns:c16="http://schemas.microsoft.com/office/drawing/2014/chart" uri="{C3380CC4-5D6E-409C-BE32-E72D297353CC}">
                <c16:uniqueId val="{00000017-8DA9-484B-BD14-2895677EA4D3}"/>
              </c:ext>
            </c:extLst>
          </c:dPt>
          <c:dPt>
            <c:idx val="12"/>
            <c:marker>
              <c:symbol val="triangle"/>
              <c:size val="5"/>
              <c:spPr>
                <a:solidFill>
                  <a:srgbClr val="00B050"/>
                </a:solidFill>
                <a:ln w="9525">
                  <a:solidFill>
                    <a:schemeClr val="accent1">
                      <a:tint val="65000"/>
                    </a:schemeClr>
                  </a:solidFill>
                </a:ln>
                <a:effectLst/>
              </c:spPr>
            </c:marker>
            <c:bubble3D val="0"/>
            <c:spPr>
              <a:ln w="28575" cap="rnd">
                <a:solidFill>
                  <a:srgbClr val="00B050"/>
                </a:solidFill>
                <a:round/>
              </a:ln>
              <a:effectLst/>
            </c:spPr>
            <c:extLst>
              <c:ext xmlns:c16="http://schemas.microsoft.com/office/drawing/2014/chart" uri="{C3380CC4-5D6E-409C-BE32-E72D297353CC}">
                <c16:uniqueId val="{00000019-8DA9-484B-BD14-2895677EA4D3}"/>
              </c:ext>
            </c:extLst>
          </c:dPt>
          <c:dPt>
            <c:idx val="13"/>
            <c:marker>
              <c:symbol val="triangle"/>
              <c:size val="5"/>
              <c:spPr>
                <a:solidFill>
                  <a:srgbClr val="00B050"/>
                </a:solidFill>
                <a:ln w="9525">
                  <a:solidFill>
                    <a:schemeClr val="accent1">
                      <a:tint val="65000"/>
                    </a:schemeClr>
                  </a:solidFill>
                </a:ln>
                <a:effectLst/>
              </c:spPr>
            </c:marker>
            <c:bubble3D val="0"/>
            <c:spPr>
              <a:ln w="28575" cap="rnd">
                <a:solidFill>
                  <a:srgbClr val="00B050"/>
                </a:solidFill>
                <a:round/>
              </a:ln>
              <a:effectLst/>
            </c:spPr>
            <c:extLst>
              <c:ext xmlns:c16="http://schemas.microsoft.com/office/drawing/2014/chart" uri="{C3380CC4-5D6E-409C-BE32-E72D297353CC}">
                <c16:uniqueId val="{0000001B-8DA9-484B-BD14-2895677EA4D3}"/>
              </c:ext>
            </c:extLst>
          </c:dPt>
          <c:dPt>
            <c:idx val="14"/>
            <c:marker>
              <c:symbol val="triangle"/>
              <c:size val="5"/>
              <c:spPr>
                <a:solidFill>
                  <a:srgbClr val="00B050"/>
                </a:solidFill>
                <a:ln w="9525">
                  <a:solidFill>
                    <a:schemeClr val="accent1">
                      <a:tint val="65000"/>
                    </a:schemeClr>
                  </a:solidFill>
                </a:ln>
                <a:effectLst/>
              </c:spPr>
            </c:marker>
            <c:bubble3D val="0"/>
            <c:spPr>
              <a:ln w="28575" cap="rnd">
                <a:solidFill>
                  <a:srgbClr val="00B050"/>
                </a:solidFill>
                <a:round/>
              </a:ln>
              <a:effectLst/>
            </c:spPr>
            <c:extLst>
              <c:ext xmlns:c16="http://schemas.microsoft.com/office/drawing/2014/chart" uri="{C3380CC4-5D6E-409C-BE32-E72D297353CC}">
                <c16:uniqueId val="{0000001D-8DA9-484B-BD14-2895677EA4D3}"/>
              </c:ext>
            </c:extLst>
          </c:dPt>
          <c:dPt>
            <c:idx val="15"/>
            <c:marker>
              <c:symbol val="triangle"/>
              <c:size val="5"/>
              <c:spPr>
                <a:solidFill>
                  <a:srgbClr val="00B050"/>
                </a:solidFill>
                <a:ln w="9525">
                  <a:solidFill>
                    <a:schemeClr val="accent1">
                      <a:tint val="65000"/>
                    </a:schemeClr>
                  </a:solidFill>
                </a:ln>
                <a:effectLst/>
              </c:spPr>
            </c:marker>
            <c:bubble3D val="0"/>
            <c:spPr>
              <a:ln w="28575" cap="rnd">
                <a:solidFill>
                  <a:srgbClr val="00B050"/>
                </a:solidFill>
                <a:round/>
              </a:ln>
              <a:effectLst/>
            </c:spPr>
            <c:extLst>
              <c:ext xmlns:c16="http://schemas.microsoft.com/office/drawing/2014/chart" uri="{C3380CC4-5D6E-409C-BE32-E72D297353CC}">
                <c16:uniqueId val="{0000001F-8DA9-484B-BD14-2895677EA4D3}"/>
              </c:ext>
            </c:extLst>
          </c:dPt>
          <c:dPt>
            <c:idx val="16"/>
            <c:marker>
              <c:symbol val="triangle"/>
              <c:size val="5"/>
              <c:spPr>
                <a:solidFill>
                  <a:srgbClr val="00B050"/>
                </a:solidFill>
                <a:ln w="9525">
                  <a:solidFill>
                    <a:schemeClr val="accent1">
                      <a:tint val="65000"/>
                    </a:schemeClr>
                  </a:solidFill>
                </a:ln>
                <a:effectLst/>
              </c:spPr>
            </c:marker>
            <c:bubble3D val="0"/>
            <c:spPr>
              <a:ln w="28575" cap="rnd">
                <a:solidFill>
                  <a:srgbClr val="00B050"/>
                </a:solidFill>
                <a:round/>
              </a:ln>
              <a:effectLst/>
            </c:spPr>
            <c:extLst>
              <c:ext xmlns:c16="http://schemas.microsoft.com/office/drawing/2014/chart" uri="{C3380CC4-5D6E-409C-BE32-E72D297353CC}">
                <c16:uniqueId val="{00000021-8DA9-484B-BD14-2895677EA4D3}"/>
              </c:ext>
            </c:extLst>
          </c:dPt>
          <c:dPt>
            <c:idx val="17"/>
            <c:marker>
              <c:symbol val="triangle"/>
              <c:size val="5"/>
              <c:spPr>
                <a:solidFill>
                  <a:srgbClr val="00B050"/>
                </a:solidFill>
                <a:ln w="9525">
                  <a:solidFill>
                    <a:schemeClr val="accent1">
                      <a:tint val="65000"/>
                    </a:schemeClr>
                  </a:solidFill>
                </a:ln>
                <a:effectLst/>
              </c:spPr>
            </c:marker>
            <c:bubble3D val="0"/>
            <c:spPr>
              <a:ln w="28575" cap="rnd">
                <a:solidFill>
                  <a:srgbClr val="00B050"/>
                </a:solidFill>
                <a:round/>
              </a:ln>
              <a:effectLst/>
            </c:spPr>
            <c:extLst>
              <c:ext xmlns:c16="http://schemas.microsoft.com/office/drawing/2014/chart" uri="{C3380CC4-5D6E-409C-BE32-E72D297353CC}">
                <c16:uniqueId val="{00000023-8DA9-484B-BD14-2895677EA4D3}"/>
              </c:ext>
            </c:extLst>
          </c:dPt>
          <c:cat>
            <c:strRef>
              <c:f>'[Grafice_PRO_01_01_23_nivel_tara.xlsx]Figura 3'!$A$23:$A$40</c:f>
              <c:strCache>
                <c:ptCount val="18"/>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c:v>
                </c:pt>
              </c:strCache>
            </c:strRef>
          </c:cat>
          <c:val>
            <c:numRef>
              <c:f>'[Grafice_PRO_01_01_23_nivel_tara.xlsx]Figura 3'!$D$23:$D$40</c:f>
              <c:numCache>
                <c:formatCode>0.00</c:formatCode>
                <c:ptCount val="18"/>
                <c:pt idx="0">
                  <c:v>-0.29950735211812063</c:v>
                </c:pt>
                <c:pt idx="1">
                  <c:v>-5.0947564534169487E-3</c:v>
                </c:pt>
                <c:pt idx="2">
                  <c:v>6.3383555553748749E-2</c:v>
                </c:pt>
                <c:pt idx="3">
                  <c:v>0.12566133375283517</c:v>
                </c:pt>
                <c:pt idx="4">
                  <c:v>-0.2995206704748492</c:v>
                </c:pt>
                <c:pt idx="5">
                  <c:v>-0.50964330417183579</c:v>
                </c:pt>
                <c:pt idx="6">
                  <c:v>-0.26456783564361963</c:v>
                </c:pt>
                <c:pt idx="7">
                  <c:v>0.20876708837392677</c:v>
                </c:pt>
                <c:pt idx="8">
                  <c:v>0.22528232995074493</c:v>
                </c:pt>
                <c:pt idx="9">
                  <c:v>-3.6311330117988483E-2</c:v>
                </c:pt>
                <c:pt idx="10">
                  <c:v>0.11242984488579033</c:v>
                </c:pt>
                <c:pt idx="11">
                  <c:v>-0.12998215113921763</c:v>
                </c:pt>
                <c:pt idx="12">
                  <c:v>4.8607329911623864E-2</c:v>
                </c:pt>
                <c:pt idx="13">
                  <c:v>0.25241016307261877</c:v>
                </c:pt>
                <c:pt idx="14">
                  <c:v>0.48949225453913403</c:v>
                </c:pt>
                <c:pt idx="15">
                  <c:v>-6.9450800136143798E-3</c:v>
                </c:pt>
                <c:pt idx="16">
                  <c:v>2.04446563386671E-2</c:v>
                </c:pt>
                <c:pt idx="17">
                  <c:v>5.0939237535747584E-3</c:v>
                </c:pt>
              </c:numCache>
            </c:numRef>
          </c:val>
          <c:smooth val="0"/>
          <c:extLst>
            <c:ext xmlns:c16="http://schemas.microsoft.com/office/drawing/2014/chart" uri="{C3380CC4-5D6E-409C-BE32-E72D297353CC}">
              <c16:uniqueId val="{00000024-8DA9-484B-BD14-2895677EA4D3}"/>
            </c:ext>
          </c:extLst>
        </c:ser>
        <c:dLbls>
          <c:showLegendKey val="0"/>
          <c:showVal val="0"/>
          <c:showCatName val="0"/>
          <c:showSerName val="0"/>
          <c:showPercent val="0"/>
          <c:showBubbleSize val="0"/>
        </c:dLbls>
        <c:marker val="1"/>
        <c:smooth val="0"/>
        <c:axId val="1341594655"/>
        <c:axId val="1341587583"/>
      </c:lineChart>
      <c:catAx>
        <c:axId val="1434192719"/>
        <c:scaling>
          <c:orientation val="minMax"/>
        </c:scaling>
        <c:delete val="0"/>
        <c:axPos val="b"/>
        <c:numFmt formatCode="General" sourceLinked="1"/>
        <c:majorTickMark val="none"/>
        <c:minorTickMark val="none"/>
        <c:tickLblPos val="nextTo"/>
        <c:spPr>
          <a:noFill/>
          <a:ln w="9525" cap="flat" cmpd="sng" algn="ctr">
            <a:solidFill>
              <a:schemeClr val="bg1">
                <a:lumMod val="50000"/>
              </a:schemeClr>
            </a:solidFill>
            <a:round/>
          </a:ln>
          <a:effectLst/>
        </c:spPr>
        <c:txPr>
          <a:bodyPr rot="-234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o-MD"/>
          </a:p>
        </c:txPr>
        <c:crossAx val="1434195631"/>
        <c:crossesAt val="0"/>
        <c:auto val="1"/>
        <c:lblAlgn val="ctr"/>
        <c:lblOffset val="100"/>
        <c:noMultiLvlLbl val="0"/>
      </c:catAx>
      <c:valAx>
        <c:axId val="1434195631"/>
        <c:scaling>
          <c:orientation val="minMax"/>
        </c:scaling>
        <c:delete val="0"/>
        <c:axPos val="l"/>
        <c:numFmt formatCode="0" sourceLinked="0"/>
        <c:majorTickMark val="out"/>
        <c:minorTickMark val="none"/>
        <c:tickLblPos val="low"/>
        <c:spPr>
          <a:noFill/>
          <a:ln>
            <a:solidFill>
              <a:schemeClr val="tx1">
                <a:tint val="75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o-MD"/>
          </a:p>
        </c:txPr>
        <c:crossAx val="1434192719"/>
        <c:crosses val="autoZero"/>
        <c:crossBetween val="between"/>
      </c:valAx>
      <c:valAx>
        <c:axId val="1341587583"/>
        <c:scaling>
          <c:orientation val="minMax"/>
        </c:scaling>
        <c:delete val="0"/>
        <c:axPos val="r"/>
        <c:numFmt formatCode="0.0" sourceLinked="0"/>
        <c:majorTickMark val="out"/>
        <c:minorTickMark val="none"/>
        <c:tickLblPos val="nextTo"/>
        <c:spPr>
          <a:noFill/>
          <a:ln>
            <a:solidFill>
              <a:schemeClr val="bg1">
                <a:lumMod val="50000"/>
              </a:schemeClr>
            </a:solid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o-MD"/>
          </a:p>
        </c:txPr>
        <c:crossAx val="1341594655"/>
        <c:crosses val="max"/>
        <c:crossBetween val="between"/>
      </c:valAx>
      <c:catAx>
        <c:axId val="1341594655"/>
        <c:scaling>
          <c:orientation val="minMax"/>
        </c:scaling>
        <c:delete val="1"/>
        <c:axPos val="b"/>
        <c:numFmt formatCode="General" sourceLinked="1"/>
        <c:majorTickMark val="out"/>
        <c:minorTickMark val="none"/>
        <c:tickLblPos val="nextTo"/>
        <c:crossAx val="1341587583"/>
        <c:crosses val="autoZero"/>
        <c:auto val="1"/>
        <c:lblAlgn val="ctr"/>
        <c:lblOffset val="100"/>
        <c:noMultiLvlLbl val="0"/>
      </c:cat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ro-MD"/>
          </a:p>
        </c:txPr>
      </c:legendEntry>
      <c:legendEntry>
        <c:idx val="1"/>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o-MD"/>
          </a:p>
        </c:txPr>
      </c:legendEntry>
      <c:legendEntry>
        <c:idx val="2"/>
        <c:txPr>
          <a:bodyPr rot="0" spcFirstLastPara="1" vertOverflow="ellipsis" vert="horz" wrap="square" anchor="ctr" anchorCtr="1"/>
          <a:lstStyle/>
          <a:p>
            <a:pPr>
              <a:defRPr sz="900" b="0" i="0" u="none" strike="noStrike" kern="1200" baseline="0">
                <a:solidFill>
                  <a:schemeClr val="accent3">
                    <a:lumMod val="50000"/>
                  </a:schemeClr>
                </a:solidFill>
                <a:latin typeface="Times New Roman" panose="02020603050405020304" pitchFamily="18" charset="0"/>
                <a:ea typeface="+mn-ea"/>
                <a:cs typeface="Times New Roman" panose="02020603050405020304" pitchFamily="18" charset="0"/>
              </a:defRPr>
            </a:pPr>
            <a:endParaRPr lang="ro-MD"/>
          </a:p>
        </c:txPr>
      </c:legendEntry>
      <c:layout>
        <c:manualLayout>
          <c:xMode val="edge"/>
          <c:yMode val="edge"/>
          <c:x val="0.19037217048259866"/>
          <c:y val="0.93002338344070623"/>
          <c:w val="0.66283719842088662"/>
          <c:h val="6.512813171080887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o-MD"/>
        </a:p>
      </c:txPr>
    </c:legend>
    <c:plotVisOnly val="1"/>
    <c:dispBlanksAs val="gap"/>
    <c:showDLblsOverMax val="0"/>
  </c:chart>
  <c:spPr>
    <a:solidFill>
      <a:schemeClr val="bg1"/>
    </a:solidFill>
    <a:ln w="3175" cap="flat" cmpd="sng" algn="ctr">
      <a:solidFill>
        <a:schemeClr val="tx1"/>
      </a:solid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ro-MD"/>
    </a:p>
  </c:txPr>
  <c:externalData r:id="rId4">
    <c:autoUpdate val="0"/>
  </c:externalData>
  <c:userShapes r:id="rId5"/>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518099233502764"/>
          <c:y val="8.1828315174320765E-2"/>
          <c:w val="0.66203390185588173"/>
          <c:h val="0.76602139251058554"/>
        </c:manualLayout>
      </c:layout>
      <c:barChart>
        <c:barDir val="bar"/>
        <c:grouping val="stacked"/>
        <c:varyColors val="0"/>
        <c:ser>
          <c:idx val="0"/>
          <c:order val="0"/>
          <c:tx>
            <c:strRef>
              <c:f>Лист1!$B$1</c:f>
              <c:strCache>
                <c:ptCount val="1"/>
                <c:pt idx="0">
                  <c:v>2022</c:v>
                </c:pt>
              </c:strCache>
            </c:strRef>
          </c:tx>
          <c:invertIfNegative val="0"/>
          <c:dLbls>
            <c:spPr>
              <a:noFill/>
              <a:ln>
                <a:noFill/>
              </a:ln>
              <a:effectLst/>
            </c:spPr>
            <c:txPr>
              <a:bodyPr/>
              <a:lstStyle/>
              <a:p>
                <a:pPr>
                  <a:defRPr baseline="0">
                    <a:solidFill>
                      <a:schemeClr val="bg1"/>
                    </a:solidFill>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16-24 ani</c:v>
                </c:pt>
                <c:pt idx="1">
                  <c:v>25-34</c:v>
                </c:pt>
                <c:pt idx="2">
                  <c:v>35-49</c:v>
                </c:pt>
                <c:pt idx="3">
                  <c:v>50-55</c:v>
                </c:pt>
                <c:pt idx="4">
                  <c:v>56+</c:v>
                </c:pt>
              </c:strCache>
            </c:strRef>
          </c:cat>
          <c:val>
            <c:numRef>
              <c:f>Лист1!$B$2:$B$6</c:f>
              <c:numCache>
                <c:formatCode>0%</c:formatCode>
                <c:ptCount val="5"/>
                <c:pt idx="0">
                  <c:v>7.0000000000000007E-2</c:v>
                </c:pt>
                <c:pt idx="1">
                  <c:v>0.18</c:v>
                </c:pt>
                <c:pt idx="2">
                  <c:v>0.38</c:v>
                </c:pt>
                <c:pt idx="3">
                  <c:v>0.16</c:v>
                </c:pt>
                <c:pt idx="4">
                  <c:v>0.21</c:v>
                </c:pt>
              </c:numCache>
            </c:numRef>
          </c:val>
          <c:extLst>
            <c:ext xmlns:c16="http://schemas.microsoft.com/office/drawing/2014/chart" uri="{C3380CC4-5D6E-409C-BE32-E72D297353CC}">
              <c16:uniqueId val="{00000000-E455-4172-BC1C-B449AB30EF95}"/>
            </c:ext>
          </c:extLst>
        </c:ser>
        <c:ser>
          <c:idx val="1"/>
          <c:order val="1"/>
          <c:tx>
            <c:strRef>
              <c:f>Лист1!$C$1</c:f>
              <c:strCache>
                <c:ptCount val="1"/>
                <c:pt idx="0">
                  <c:v>2023</c:v>
                </c:pt>
              </c:strCache>
            </c:strRef>
          </c:tx>
          <c:invertIfNegative val="0"/>
          <c:dLbls>
            <c:spPr>
              <a:noFill/>
              <a:ln>
                <a:noFill/>
              </a:ln>
              <a:effectLst/>
            </c:spPr>
            <c:txPr>
              <a:bodyPr/>
              <a:lstStyle/>
              <a:p>
                <a:pPr>
                  <a:defRPr baseline="0">
                    <a:solidFill>
                      <a:schemeClr val="bg1"/>
                    </a:solidFill>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16-24 ani</c:v>
                </c:pt>
                <c:pt idx="1">
                  <c:v>25-34</c:v>
                </c:pt>
                <c:pt idx="2">
                  <c:v>35-49</c:v>
                </c:pt>
                <c:pt idx="3">
                  <c:v>50-55</c:v>
                </c:pt>
                <c:pt idx="4">
                  <c:v>56+</c:v>
                </c:pt>
              </c:strCache>
            </c:strRef>
          </c:cat>
          <c:val>
            <c:numRef>
              <c:f>Лист1!$C$2:$C$6</c:f>
              <c:numCache>
                <c:formatCode>0%</c:formatCode>
                <c:ptCount val="5"/>
                <c:pt idx="0">
                  <c:v>0.08</c:v>
                </c:pt>
                <c:pt idx="1">
                  <c:v>0.19</c:v>
                </c:pt>
                <c:pt idx="2">
                  <c:v>0.39</c:v>
                </c:pt>
                <c:pt idx="3">
                  <c:v>0.15</c:v>
                </c:pt>
                <c:pt idx="4">
                  <c:v>0.19</c:v>
                </c:pt>
              </c:numCache>
            </c:numRef>
          </c:val>
          <c:extLst>
            <c:ext xmlns:c16="http://schemas.microsoft.com/office/drawing/2014/chart" uri="{C3380CC4-5D6E-409C-BE32-E72D297353CC}">
              <c16:uniqueId val="{00000001-E455-4172-BC1C-B449AB30EF95}"/>
            </c:ext>
          </c:extLst>
        </c:ser>
        <c:dLbls>
          <c:showLegendKey val="0"/>
          <c:showVal val="0"/>
          <c:showCatName val="0"/>
          <c:showSerName val="0"/>
          <c:showPercent val="0"/>
          <c:showBubbleSize val="0"/>
        </c:dLbls>
        <c:gapWidth val="150"/>
        <c:overlap val="100"/>
        <c:axId val="112707840"/>
        <c:axId val="112943104"/>
      </c:barChart>
      <c:catAx>
        <c:axId val="112707840"/>
        <c:scaling>
          <c:orientation val="minMax"/>
        </c:scaling>
        <c:delete val="0"/>
        <c:axPos val="l"/>
        <c:numFmt formatCode="General" sourceLinked="0"/>
        <c:majorTickMark val="out"/>
        <c:minorTickMark val="none"/>
        <c:tickLblPos val="nextTo"/>
        <c:crossAx val="112943104"/>
        <c:crosses val="autoZero"/>
        <c:auto val="1"/>
        <c:lblAlgn val="ctr"/>
        <c:lblOffset val="100"/>
        <c:noMultiLvlLbl val="0"/>
      </c:catAx>
      <c:valAx>
        <c:axId val="112943104"/>
        <c:scaling>
          <c:orientation val="minMax"/>
          <c:max val="1"/>
        </c:scaling>
        <c:delete val="0"/>
        <c:axPos val="b"/>
        <c:majorGridlines/>
        <c:numFmt formatCode="0%" sourceLinked="1"/>
        <c:majorTickMark val="out"/>
        <c:minorTickMark val="none"/>
        <c:tickLblPos val="nextTo"/>
        <c:crossAx val="112707840"/>
        <c:crosses val="autoZero"/>
        <c:crossBetween val="between"/>
      </c:valAx>
    </c:plotArea>
    <c:legend>
      <c:legendPos val="r"/>
      <c:legendEntry>
        <c:idx val="1"/>
        <c:delete val="1"/>
      </c:legendEntry>
      <c:layout>
        <c:manualLayout>
          <c:xMode val="edge"/>
          <c:yMode val="edge"/>
          <c:x val="0.88746845405469366"/>
          <c:y val="0.46610960904221382"/>
          <c:w val="0.11253154594530702"/>
          <c:h val="8.0595596244554105E-2"/>
        </c:manualLayout>
      </c:layout>
      <c:overlay val="0"/>
    </c:legend>
    <c:plotVisOnly val="1"/>
    <c:dispBlanksAs val="gap"/>
    <c:showDLblsOverMax val="0"/>
  </c:chart>
  <c:spPr>
    <a:ln>
      <a:solidFill>
        <a:schemeClr val="tx1"/>
      </a:solidFill>
    </a:ln>
  </c:spPr>
  <c:txPr>
    <a:bodyPr/>
    <a:lstStyle/>
    <a:p>
      <a:pPr>
        <a:defRPr sz="600" b="1" i="0" baseline="0">
          <a:latin typeface="Times New Roman" pitchFamily="18" charset="0"/>
        </a:defRPr>
      </a:pPr>
      <a:endParaRPr lang="ro-MD"/>
    </a:p>
  </c:txPr>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stacked"/>
        <c:varyColors val="0"/>
        <c:ser>
          <c:idx val="0"/>
          <c:order val="0"/>
          <c:tx>
            <c:strRef>
              <c:f>Лист1!$B$1</c:f>
              <c:strCache>
                <c:ptCount val="1"/>
                <c:pt idx="0">
                  <c:v>2022</c:v>
                </c:pt>
              </c:strCache>
            </c:strRef>
          </c:tx>
          <c:invertIfNegative val="0"/>
          <c:dLbls>
            <c:dLbl>
              <c:idx val="0"/>
              <c:layout>
                <c:manualLayout>
                  <c:x val="2.9710583835883392E-2"/>
                  <c:y val="-6.25040200014523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D9C-4D05-90A1-465136CDFA09}"/>
                </c:ext>
              </c:extLst>
            </c:dLbl>
            <c:dLbl>
              <c:idx val="1"/>
              <c:layout>
                <c:manualLayout>
                  <c:x val="1.2940529943571279E-2"/>
                  <c:y val="-5.67585363746242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D9C-4D05-90A1-465136CDFA09}"/>
                </c:ext>
              </c:extLst>
            </c:dLbl>
            <c:dLbl>
              <c:idx val="2"/>
              <c:layout>
                <c:manualLayout>
                  <c:x val="4.6050263783915827E-3"/>
                  <c:y val="-5.67587895386594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D9C-4D05-90A1-465136CDFA09}"/>
                </c:ext>
              </c:extLst>
            </c:dLbl>
            <c:dLbl>
              <c:idx val="3"/>
              <c:layout>
                <c:manualLayout>
                  <c:x val="1.7691517657282805E-2"/>
                  <c:y val="-5.04517962922619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D9C-4D05-90A1-465136CDFA09}"/>
                </c:ext>
              </c:extLst>
            </c:dLbl>
            <c:dLbl>
              <c:idx val="4"/>
              <c:layout>
                <c:manualLayout>
                  <c:x val="1.3377926421404682E-2"/>
                  <c:y val="-5.67587895386594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D9C-4D05-90A1-465136CDFA09}"/>
                </c:ext>
              </c:extLst>
            </c:dLbl>
            <c:spPr>
              <a:noFill/>
              <a:ln>
                <a:noFill/>
              </a:ln>
              <a:effectLst/>
            </c:spPr>
            <c:txPr>
              <a:bodyPr/>
              <a:lstStyle/>
              <a:p>
                <a:pPr>
                  <a:defRPr baseline="0">
                    <a:solidFill>
                      <a:sysClr val="windowText" lastClr="000000"/>
                    </a:solidFill>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Primar/gimnazial</c:v>
                </c:pt>
                <c:pt idx="1">
                  <c:v>Liceal</c:v>
                </c:pt>
                <c:pt idx="2">
                  <c:v>Profesional tehnic-secundar</c:v>
                </c:pt>
                <c:pt idx="3">
                  <c:v>Profesional tehnic postsecundar</c:v>
                </c:pt>
                <c:pt idx="4">
                  <c:v>Superior</c:v>
                </c:pt>
              </c:strCache>
            </c:strRef>
          </c:cat>
          <c:val>
            <c:numRef>
              <c:f>Лист1!$B$2:$B$6</c:f>
              <c:numCache>
                <c:formatCode>0%</c:formatCode>
                <c:ptCount val="5"/>
                <c:pt idx="0">
                  <c:v>0.57999999999999996</c:v>
                </c:pt>
                <c:pt idx="1">
                  <c:v>0.1</c:v>
                </c:pt>
                <c:pt idx="2">
                  <c:v>0.18</c:v>
                </c:pt>
                <c:pt idx="3">
                  <c:v>0.06</c:v>
                </c:pt>
                <c:pt idx="4">
                  <c:v>0.08</c:v>
                </c:pt>
              </c:numCache>
            </c:numRef>
          </c:val>
          <c:extLst>
            <c:ext xmlns:c16="http://schemas.microsoft.com/office/drawing/2014/chart" uri="{C3380CC4-5D6E-409C-BE32-E72D297353CC}">
              <c16:uniqueId val="{00000005-0D9C-4D05-90A1-465136CDFA09}"/>
            </c:ext>
          </c:extLst>
        </c:ser>
        <c:ser>
          <c:idx val="1"/>
          <c:order val="1"/>
          <c:tx>
            <c:strRef>
              <c:f>Лист1!$C$1</c:f>
              <c:strCache>
                <c:ptCount val="1"/>
                <c:pt idx="0">
                  <c:v>2023</c:v>
                </c:pt>
              </c:strCache>
            </c:strRef>
          </c:tx>
          <c:invertIfNegative val="0"/>
          <c:dLbls>
            <c:dLbl>
              <c:idx val="0"/>
              <c:layout>
                <c:manualLayout>
                  <c:x val="-4.8323457895522254E-2"/>
                  <c:y val="-6.96528793584596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D9C-4D05-90A1-465136CDFA09}"/>
                </c:ext>
              </c:extLst>
            </c:dLbl>
            <c:dLbl>
              <c:idx val="1"/>
              <c:layout>
                <c:manualLayout>
                  <c:x val="3.0631940238239452E-2"/>
                  <c:y val="-5.64776487919247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D9C-4D05-90A1-465136CDFA09}"/>
                </c:ext>
              </c:extLst>
            </c:dLbl>
            <c:dLbl>
              <c:idx val="2"/>
              <c:layout>
                <c:manualLayout>
                  <c:x val="0"/>
                  <c:y val="-6.30650404162491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D9C-4D05-90A1-465136CDFA09}"/>
                </c:ext>
              </c:extLst>
            </c:dLbl>
            <c:dLbl>
              <c:idx val="3"/>
              <c:layout>
                <c:manualLayout>
                  <c:x val="3.8821589830713404E-2"/>
                  <c:y val="-3.78390242497494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D9C-4D05-90A1-465136CDFA09}"/>
                </c:ext>
              </c:extLst>
            </c:dLbl>
            <c:dLbl>
              <c:idx val="4"/>
              <c:layout>
                <c:manualLayout>
                  <c:x val="4.866159288617343E-2"/>
                  <c:y val="-5.0172211675121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D9C-4D05-90A1-465136CDFA09}"/>
                </c:ext>
              </c:extLst>
            </c:dLbl>
            <c:spPr>
              <a:noFill/>
              <a:ln>
                <a:noFill/>
              </a:ln>
              <a:effectLst/>
            </c:spPr>
            <c:txPr>
              <a:bodyPr/>
              <a:lstStyle/>
              <a:p>
                <a:pPr>
                  <a:defRPr baseline="0">
                    <a:solidFill>
                      <a:sysClr val="windowText" lastClr="000000"/>
                    </a:solidFill>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Primar/gimnazial</c:v>
                </c:pt>
                <c:pt idx="1">
                  <c:v>Liceal</c:v>
                </c:pt>
                <c:pt idx="2">
                  <c:v>Profesional tehnic-secundar</c:v>
                </c:pt>
                <c:pt idx="3">
                  <c:v>Profesional tehnic postsecundar</c:v>
                </c:pt>
                <c:pt idx="4">
                  <c:v>Superior</c:v>
                </c:pt>
              </c:strCache>
            </c:strRef>
          </c:cat>
          <c:val>
            <c:numRef>
              <c:f>Лист1!$C$2:$C$6</c:f>
              <c:numCache>
                <c:formatCode>0%</c:formatCode>
                <c:ptCount val="5"/>
                <c:pt idx="0">
                  <c:v>0.53</c:v>
                </c:pt>
                <c:pt idx="1">
                  <c:v>0.12</c:v>
                </c:pt>
                <c:pt idx="2">
                  <c:v>0.18</c:v>
                </c:pt>
                <c:pt idx="3">
                  <c:v>0.06</c:v>
                </c:pt>
                <c:pt idx="4">
                  <c:v>0.11</c:v>
                </c:pt>
              </c:numCache>
            </c:numRef>
          </c:val>
          <c:extLst>
            <c:ext xmlns:c16="http://schemas.microsoft.com/office/drawing/2014/chart" uri="{C3380CC4-5D6E-409C-BE32-E72D297353CC}">
              <c16:uniqueId val="{0000000B-0D9C-4D05-90A1-465136CDFA09}"/>
            </c:ext>
          </c:extLst>
        </c:ser>
        <c:dLbls>
          <c:showLegendKey val="0"/>
          <c:showVal val="0"/>
          <c:showCatName val="0"/>
          <c:showSerName val="0"/>
          <c:showPercent val="0"/>
          <c:showBubbleSize val="0"/>
        </c:dLbls>
        <c:gapWidth val="150"/>
        <c:overlap val="100"/>
        <c:axId val="66082688"/>
        <c:axId val="66084224"/>
      </c:barChart>
      <c:catAx>
        <c:axId val="66082688"/>
        <c:scaling>
          <c:orientation val="minMax"/>
        </c:scaling>
        <c:delete val="0"/>
        <c:axPos val="l"/>
        <c:numFmt formatCode="General" sourceLinked="0"/>
        <c:majorTickMark val="out"/>
        <c:minorTickMark val="none"/>
        <c:tickLblPos val="nextTo"/>
        <c:crossAx val="66084224"/>
        <c:crosses val="autoZero"/>
        <c:auto val="1"/>
        <c:lblAlgn val="ctr"/>
        <c:lblOffset val="100"/>
        <c:noMultiLvlLbl val="0"/>
      </c:catAx>
      <c:valAx>
        <c:axId val="66084224"/>
        <c:scaling>
          <c:orientation val="minMax"/>
          <c:max val="1"/>
        </c:scaling>
        <c:delete val="0"/>
        <c:axPos val="b"/>
        <c:majorGridlines/>
        <c:numFmt formatCode="0%" sourceLinked="1"/>
        <c:majorTickMark val="out"/>
        <c:minorTickMark val="none"/>
        <c:tickLblPos val="nextTo"/>
        <c:crossAx val="66082688"/>
        <c:crosses val="autoZero"/>
        <c:crossBetween val="between"/>
      </c:valAx>
    </c:plotArea>
    <c:legend>
      <c:legendPos val="l"/>
      <c:legendEntry>
        <c:idx val="0"/>
        <c:delete val="1"/>
      </c:legendEntry>
      <c:layout>
        <c:manualLayout>
          <c:xMode val="edge"/>
          <c:yMode val="edge"/>
          <c:x val="0"/>
          <c:y val="0.46033655875427182"/>
          <c:w val="0.10111670893254272"/>
          <c:h val="7.9318272095333431E-2"/>
        </c:manualLayout>
      </c:layout>
      <c:overlay val="0"/>
    </c:legend>
    <c:plotVisOnly val="1"/>
    <c:dispBlanksAs val="gap"/>
    <c:showDLblsOverMax val="0"/>
  </c:chart>
  <c:spPr>
    <a:ln>
      <a:solidFill>
        <a:schemeClr val="tx1"/>
      </a:solidFill>
    </a:ln>
  </c:spPr>
  <c:txPr>
    <a:bodyPr/>
    <a:lstStyle/>
    <a:p>
      <a:pPr>
        <a:defRPr sz="600" b="1" i="0" baseline="0">
          <a:latin typeface="Times New Roman" pitchFamily="18" charset="0"/>
        </a:defRPr>
      </a:pPr>
      <a:endParaRPr lang="ro-MD"/>
    </a:p>
  </c:txPr>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9627624671916"/>
          <c:y val="0.13924603174603176"/>
          <c:w val="0.82963163458734324"/>
          <c:h val="0.66998656417947755"/>
        </c:manualLayout>
      </c:layout>
      <c:barChart>
        <c:barDir val="bar"/>
        <c:grouping val="clustered"/>
        <c:varyColors val="0"/>
        <c:ser>
          <c:idx val="0"/>
          <c:order val="0"/>
          <c:tx>
            <c:strRef>
              <c:f>Лист1!$B$1</c:f>
              <c:strCache>
                <c:ptCount val="1"/>
                <c:pt idx="0">
                  <c:v>2023</c:v>
                </c:pt>
              </c:strCache>
            </c:strRef>
          </c:tx>
          <c:spPr>
            <a:solidFill>
              <a:schemeClr val="accent1"/>
            </a:solidFill>
            <a:ln>
              <a:noFill/>
            </a:ln>
            <a:effectLst/>
          </c:spPr>
          <c:invertIfNegative val="0"/>
          <c:dLbls>
            <c:dLbl>
              <c:idx val="0"/>
              <c:layout>
                <c:manualLayout>
                  <c:x val="-1.1574074074074117E-2"/>
                  <c:y val="9.101251422070367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119-466E-A0F5-0552BD32CF0D}"/>
                </c:ext>
              </c:extLst>
            </c:dLbl>
            <c:dLbl>
              <c:idx val="1"/>
              <c:layout>
                <c:manualLayout>
                  <c:x val="-1.4386808878732487E-2"/>
                  <c:y val="-9.770395701025891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119-466E-A0F5-0552BD32CF0D}"/>
                </c:ext>
              </c:extLst>
            </c:dLbl>
            <c:dLbl>
              <c:idx val="2"/>
              <c:layout>
                <c:manualLayout>
                  <c:x val="-2.5637738751442124E-3"/>
                  <c:y val="9.770395701025802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119-466E-A0F5-0552BD32CF0D}"/>
                </c:ext>
              </c:extLst>
            </c:dLbl>
            <c:dLbl>
              <c:idx val="3"/>
              <c:layout>
                <c:manualLayout>
                  <c:x val="-4.6296296296296719E-3"/>
                  <c:y val="9.10125142207053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119-466E-A0F5-0552BD32CF0D}"/>
                </c:ext>
              </c:extLst>
            </c:dLbl>
            <c:dLbl>
              <c:idx val="4"/>
              <c:layout>
                <c:manualLayout>
                  <c:x val="-2.1829222379121594E-2"/>
                  <c:y val="9.7702033704018549E-3"/>
                </c:manualLayout>
              </c:layout>
              <c:spPr>
                <a:noFill/>
                <a:ln>
                  <a:noFill/>
                </a:ln>
                <a:effectLst/>
              </c:spPr>
              <c:txPr>
                <a:bodyPr rot="0" spcFirstLastPara="1" vertOverflow="ellipsis" vert="horz" wrap="square" lIns="38100" tIns="19050" rIns="38100" bIns="19050" anchor="ctr" anchorCtr="1">
                  <a:noAutofit/>
                </a:bodyPr>
                <a:lstStyle/>
                <a:p>
                  <a:pPr>
                    <a:defRPr sz="600" b="0" i="0" u="none" strike="noStrike" kern="1200" baseline="0">
                      <a:solidFill>
                        <a:schemeClr val="tx2">
                          <a:lumMod val="75000"/>
                        </a:schemeClr>
                      </a:solidFill>
                      <a:latin typeface="Times New Roman" panose="02020603050405020304" pitchFamily="18" charset="0"/>
                      <a:ea typeface="+mn-ea"/>
                      <a:cs typeface="+mn-cs"/>
                    </a:defRPr>
                  </a:pPr>
                  <a:endParaRPr lang="ro-MD"/>
                </a:p>
              </c:txPr>
              <c:showLegendKey val="0"/>
              <c:showVal val="1"/>
              <c:showCatName val="0"/>
              <c:showSerName val="0"/>
              <c:showPercent val="0"/>
              <c:showBubbleSize val="0"/>
              <c:extLst>
                <c:ext xmlns:c15="http://schemas.microsoft.com/office/drawing/2012/chart" uri="{CE6537A1-D6FC-4f65-9D91-7224C49458BB}">
                  <c15:layout>
                    <c:manualLayout>
                      <c:w val="3.4722178763675567E-2"/>
                      <c:h val="3.661898149394735E-2"/>
                    </c:manualLayout>
                  </c15:layout>
                </c:ext>
                <c:ext xmlns:c16="http://schemas.microsoft.com/office/drawing/2014/chart" uri="{C3380CC4-5D6E-409C-BE32-E72D297353CC}">
                  <c16:uniqueId val="{00000004-0119-466E-A0F5-0552BD32CF0D}"/>
                </c:ext>
              </c:extLst>
            </c:dLbl>
            <c:dLbl>
              <c:idx val="5"/>
              <c:layout>
                <c:manualLayout>
                  <c:x val="-7.6913216254327309E-3"/>
                  <c:y val="9.770395701025891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119-466E-A0F5-0552BD32CF0D}"/>
                </c:ext>
              </c:extLst>
            </c:dLbl>
            <c:dLbl>
              <c:idx val="6"/>
              <c:layout>
                <c:manualLayout>
                  <c:x val="-1.5382643250865368E-2"/>
                  <c:y val="1.46555935515388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119-466E-A0F5-0552BD32CF0D}"/>
                </c:ext>
              </c:extLst>
            </c:dLbl>
            <c:dLbl>
              <c:idx val="7"/>
              <c:layout>
                <c:manualLayout>
                  <c:x val="-7.1933035033870012E-3"/>
                  <c:y val="9.1010851293808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119-466E-A0F5-0552BD32CF0D}"/>
                </c:ext>
              </c:extLst>
            </c:dLbl>
            <c:dLbl>
              <c:idx val="8"/>
              <c:layout>
                <c:manualLayout>
                  <c:x val="-6.6954872532998498E-3"/>
                  <c:y val="-3.3465528582254039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119-466E-A0F5-0552BD32CF0D}"/>
                </c:ext>
              </c:extLst>
            </c:dLbl>
            <c:dLbl>
              <c:idx val="9"/>
              <c:layout>
                <c:manualLayout>
                  <c:x val="-9.0103020995007266E-3"/>
                  <c:y val="9.266994530148401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119-466E-A0F5-0552BD32CF0D}"/>
                </c:ext>
              </c:extLst>
            </c:dLbl>
            <c:dLbl>
              <c:idx val="10"/>
              <c:layout>
                <c:manualLayout>
                  <c:x val="-6.9443953783434719E-3"/>
                  <c:y val="9.435740415203350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119-466E-A0F5-0552BD32CF0D}"/>
                </c:ext>
              </c:extLst>
            </c:dLbl>
            <c:dLbl>
              <c:idx val="11"/>
              <c:layout>
                <c:manualLayout>
                  <c:x val="-7.6913216254326372E-3"/>
                  <c:y val="9.1010851293808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119-466E-A0F5-0552BD32CF0D}"/>
                </c:ext>
              </c:extLst>
            </c:dLbl>
            <c:dLbl>
              <c:idx val="12"/>
              <c:layout>
                <c:manualLayout>
                  <c:x val="-1.1325016881542544E-2"/>
                  <c:y val="9.1010851293808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119-466E-A0F5-0552BD32CF0D}"/>
                </c:ext>
              </c:extLst>
            </c:dLbl>
            <c:dLbl>
              <c:idx val="13"/>
              <c:layout>
                <c:manualLayout>
                  <c:x val="-1.6950582753876887E-2"/>
                  <c:y val="9.101085129380789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119-466E-A0F5-0552BD32CF0D}"/>
                </c:ext>
              </c:extLst>
            </c:dLbl>
            <c:dLbl>
              <c:idx val="14"/>
              <c:layout>
                <c:manualLayout>
                  <c:x val="5.1566327188345062E-3"/>
                  <c:y val="1.92030724915986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BC0-4186-91B9-DAE7BD06CC6F}"/>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2">
                        <a:lumMod val="75000"/>
                      </a:schemeClr>
                    </a:solidFill>
                    <a:latin typeface="Times New Roman" panose="02020603050405020304" pitchFamily="18" charset="0"/>
                    <a:ea typeface="+mn-ea"/>
                    <a:cs typeface="+mn-cs"/>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Лист1!$A$2:$A$16</c:f>
              <c:strCache>
                <c:ptCount val="15"/>
                <c:pt idx="0">
                  <c:v>Distibuția apei, salubritate</c:v>
                </c:pt>
                <c:pt idx="1">
                  <c:v>Producția și furnizarea energie el/</c:v>
                </c:pt>
                <c:pt idx="2">
                  <c:v>Activități de cazare și alimentație publică</c:v>
                </c:pt>
                <c:pt idx="3">
                  <c:v>Activități financiare și asigurări</c:v>
                </c:pt>
                <c:pt idx="4">
                  <c:v>Altele</c:v>
                </c:pt>
                <c:pt idx="5">
                  <c:v>Sănătate și asistență socială</c:v>
                </c:pt>
                <c:pt idx="6">
                  <c:v>Activități de servicii administrative</c:v>
                </c:pt>
                <c:pt idx="7">
                  <c:v>Construcții</c:v>
                </c:pt>
                <c:pt idx="8">
                  <c:v>Transport și depozitare</c:v>
                </c:pt>
                <c:pt idx="9">
                  <c:v>Învățământ</c:v>
                </c:pt>
                <c:pt idx="10">
                  <c:v>Administrație publică și apărare</c:v>
                </c:pt>
                <c:pt idx="11">
                  <c:v>Comerț cu ridicata și amănuntul</c:v>
                </c:pt>
                <c:pt idx="12">
                  <c:v>Industrie</c:v>
                </c:pt>
                <c:pt idx="13">
                  <c:v>Agricultură, silvicultură și pescuit</c:v>
                </c:pt>
                <c:pt idx="14">
                  <c:v>Alte activități de servicii</c:v>
                </c:pt>
              </c:strCache>
            </c:strRef>
          </c:cat>
          <c:val>
            <c:numRef>
              <c:f>Лист1!$B$2:$B$16</c:f>
              <c:numCache>
                <c:formatCode>General</c:formatCode>
                <c:ptCount val="15"/>
                <c:pt idx="0">
                  <c:v>56</c:v>
                </c:pt>
                <c:pt idx="1">
                  <c:v>84</c:v>
                </c:pt>
                <c:pt idx="2">
                  <c:v>92</c:v>
                </c:pt>
                <c:pt idx="3">
                  <c:v>209</c:v>
                </c:pt>
                <c:pt idx="4">
                  <c:v>332</c:v>
                </c:pt>
                <c:pt idx="5">
                  <c:v>432</c:v>
                </c:pt>
                <c:pt idx="6">
                  <c:v>488</c:v>
                </c:pt>
                <c:pt idx="7">
                  <c:v>575</c:v>
                </c:pt>
                <c:pt idx="8">
                  <c:v>600</c:v>
                </c:pt>
                <c:pt idx="9">
                  <c:v>965</c:v>
                </c:pt>
                <c:pt idx="10">
                  <c:v>1968</c:v>
                </c:pt>
                <c:pt idx="11">
                  <c:v>2034</c:v>
                </c:pt>
                <c:pt idx="12">
                  <c:v>2255</c:v>
                </c:pt>
                <c:pt idx="13">
                  <c:v>2566</c:v>
                </c:pt>
                <c:pt idx="14">
                  <c:v>6806</c:v>
                </c:pt>
              </c:numCache>
            </c:numRef>
          </c:val>
          <c:extLst>
            <c:ext xmlns:c16="http://schemas.microsoft.com/office/drawing/2014/chart" uri="{C3380CC4-5D6E-409C-BE32-E72D297353CC}">
              <c16:uniqueId val="{0000000E-0119-466E-A0F5-0552BD32CF0D}"/>
            </c:ext>
          </c:extLst>
        </c:ser>
        <c:ser>
          <c:idx val="1"/>
          <c:order val="1"/>
          <c:tx>
            <c:strRef>
              <c:f>Лист1!$C$1</c:f>
              <c:strCache>
                <c:ptCount val="1"/>
                <c:pt idx="0">
                  <c:v>2022</c:v>
                </c:pt>
              </c:strCache>
            </c:strRef>
          </c:tx>
          <c:spPr>
            <a:solidFill>
              <a:schemeClr val="accent2"/>
            </a:solidFill>
            <a:ln>
              <a:noFill/>
            </a:ln>
            <a:effectLst/>
          </c:spPr>
          <c:invertIfNegative val="0"/>
          <c:dLbls>
            <c:dLbl>
              <c:idx val="1"/>
              <c:layout>
                <c:manualLayout>
                  <c:x val="7.6913216254326372E-3"/>
                  <c:y val="4.88519785051276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0119-466E-A0F5-0552BD32CF0D}"/>
                </c:ext>
              </c:extLst>
            </c:dLbl>
            <c:dLbl>
              <c:idx val="2"/>
              <c:layout>
                <c:manualLayout>
                  <c:x val="1.0255095500576803E-2"/>
                  <c:y val="-4.88519785051294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0119-466E-A0F5-0552BD32CF0D}"/>
                </c:ext>
              </c:extLst>
            </c:dLbl>
            <c:dLbl>
              <c:idx val="3"/>
              <c:layout>
                <c:manualLayout>
                  <c:x val="-5.1566327188346485E-3"/>
                  <c:y val="-5.31632110579479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0119-466E-A0F5-0552BD32CF0D}"/>
                </c:ext>
              </c:extLst>
            </c:dLbl>
            <c:dLbl>
              <c:idx val="4"/>
              <c:layout>
                <c:manualLayout>
                  <c:x val="-1.538260083094873E-2"/>
                  <c:y val="-9.770309811752000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0119-466E-A0F5-0552BD32CF0D}"/>
                </c:ext>
              </c:extLst>
            </c:dLbl>
            <c:dLbl>
              <c:idx val="6"/>
              <c:layout>
                <c:manualLayout>
                  <c:x val="-5.1420154922301254E-3"/>
                  <c:y val="-4.453988705957210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0119-466E-A0F5-0552BD32CF0D}"/>
                </c:ext>
              </c:extLst>
            </c:dLbl>
            <c:dLbl>
              <c:idx val="7"/>
              <c:layout>
                <c:manualLayout>
                  <c:x val="0"/>
                  <c:y val="-4.88519785051294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0119-466E-A0F5-0552BD32CF0D}"/>
                </c:ext>
              </c:extLst>
            </c:dLbl>
            <c:dLbl>
              <c:idx val="8"/>
              <c:layout>
                <c:manualLayout>
                  <c:x val="-1.8004565853143566E-2"/>
                  <c:y val="-1.50866309175467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0119-466E-A0F5-0552BD32CF0D}"/>
                </c:ext>
              </c:extLst>
            </c:dLbl>
            <c:dLbl>
              <c:idx val="9"/>
              <c:layout>
                <c:manualLayout>
                  <c:x val="-1.0298648211064632E-2"/>
                  <c:y val="-1.5086630917546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0119-466E-A0F5-0552BD32CF0D}"/>
                </c:ext>
              </c:extLst>
            </c:dLbl>
            <c:dLbl>
              <c:idx val="10"/>
              <c:layout>
                <c:manualLayout>
                  <c:x val="-1.2833315907704396E-2"/>
                  <c:y val="-1.50866917497381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0119-466E-A0F5-0552BD32CF0D}"/>
                </c:ext>
              </c:extLst>
            </c:dLbl>
            <c:dLbl>
              <c:idx val="11"/>
              <c:layout>
                <c:manualLayout>
                  <c:x val="-1.5382600830948823E-2"/>
                  <c:y val="-8.90797741191442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0119-466E-A0F5-0552BD32CF0D}"/>
                </c:ext>
              </c:extLst>
            </c:dLbl>
            <c:dLbl>
              <c:idx val="12"/>
              <c:layout>
                <c:manualLayout>
                  <c:x val="-2.5056362604668914E-3"/>
                  <c:y val="-4.969362027058187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0119-466E-A0F5-0552BD32CF0D}"/>
                </c:ext>
              </c:extLst>
            </c:dLbl>
            <c:dLbl>
              <c:idx val="13"/>
              <c:layout>
                <c:manualLayout>
                  <c:x val="-1.538260083094873E-2"/>
                  <c:y val="-1.46146386874054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0119-466E-A0F5-0552BD32CF0D}"/>
                </c:ext>
              </c:extLst>
            </c:dLbl>
            <c:dLbl>
              <c:idx val="14"/>
              <c:layout>
                <c:manualLayout>
                  <c:x val="-4.3831378110094112E-2"/>
                  <c:y val="-3.16329037842905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0119-466E-A0F5-0552BD32CF0D}"/>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rgbClr val="C00000"/>
                    </a:solidFill>
                    <a:latin typeface="Times New Roman" panose="02020603050405020304" pitchFamily="18" charset="0"/>
                    <a:ea typeface="+mn-ea"/>
                    <a:cs typeface="+mn-cs"/>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Лист1!$A$2:$A$16</c:f>
              <c:strCache>
                <c:ptCount val="15"/>
                <c:pt idx="0">
                  <c:v>Distibuția apei, salubritate</c:v>
                </c:pt>
                <c:pt idx="1">
                  <c:v>Producția și furnizarea energie el/</c:v>
                </c:pt>
                <c:pt idx="2">
                  <c:v>Activități de cazare și alimentație publică</c:v>
                </c:pt>
                <c:pt idx="3">
                  <c:v>Activități financiare și asigurări</c:v>
                </c:pt>
                <c:pt idx="4">
                  <c:v>Altele</c:v>
                </c:pt>
                <c:pt idx="5">
                  <c:v>Sănătate și asistență socială</c:v>
                </c:pt>
                <c:pt idx="6">
                  <c:v>Activități de servicii administrative</c:v>
                </c:pt>
                <c:pt idx="7">
                  <c:v>Construcții</c:v>
                </c:pt>
                <c:pt idx="8">
                  <c:v>Transport și depozitare</c:v>
                </c:pt>
                <c:pt idx="9">
                  <c:v>Învățământ</c:v>
                </c:pt>
                <c:pt idx="10">
                  <c:v>Administrație publică și apărare</c:v>
                </c:pt>
                <c:pt idx="11">
                  <c:v>Comerț cu ridicata și amănuntul</c:v>
                </c:pt>
                <c:pt idx="12">
                  <c:v>Industrie</c:v>
                </c:pt>
                <c:pt idx="13">
                  <c:v>Agricultură, silvicultură și pescuit</c:v>
                </c:pt>
                <c:pt idx="14">
                  <c:v>Alte activități de servicii</c:v>
                </c:pt>
              </c:strCache>
            </c:strRef>
          </c:cat>
          <c:val>
            <c:numRef>
              <c:f>Лист1!$C$2:$C$16</c:f>
              <c:numCache>
                <c:formatCode>General</c:formatCode>
                <c:ptCount val="15"/>
                <c:pt idx="0">
                  <c:v>87</c:v>
                </c:pt>
                <c:pt idx="1">
                  <c:v>118</c:v>
                </c:pt>
                <c:pt idx="2">
                  <c:v>187</c:v>
                </c:pt>
                <c:pt idx="3">
                  <c:v>217</c:v>
                </c:pt>
                <c:pt idx="4">
                  <c:v>199</c:v>
                </c:pt>
                <c:pt idx="5">
                  <c:v>523</c:v>
                </c:pt>
                <c:pt idx="6">
                  <c:v>477</c:v>
                </c:pt>
                <c:pt idx="7">
                  <c:v>1030</c:v>
                </c:pt>
                <c:pt idx="8">
                  <c:v>807</c:v>
                </c:pt>
                <c:pt idx="9">
                  <c:v>1273</c:v>
                </c:pt>
                <c:pt idx="10">
                  <c:v>2609</c:v>
                </c:pt>
                <c:pt idx="11">
                  <c:v>2750</c:v>
                </c:pt>
                <c:pt idx="12">
                  <c:v>2624</c:v>
                </c:pt>
                <c:pt idx="13">
                  <c:v>3545</c:v>
                </c:pt>
                <c:pt idx="14">
                  <c:v>8221</c:v>
                </c:pt>
              </c:numCache>
            </c:numRef>
          </c:val>
          <c:extLst>
            <c:ext xmlns:c16="http://schemas.microsoft.com/office/drawing/2014/chart" uri="{C3380CC4-5D6E-409C-BE32-E72D297353CC}">
              <c16:uniqueId val="{0000001C-0119-466E-A0F5-0552BD32CF0D}"/>
            </c:ext>
          </c:extLst>
        </c:ser>
        <c:ser>
          <c:idx val="2"/>
          <c:order val="2"/>
          <c:tx>
            <c:strRef>
              <c:f>Лист1!$D$1</c:f>
              <c:strCache>
                <c:ptCount val="1"/>
                <c:pt idx="0">
                  <c:v>Столбец2</c:v>
                </c:pt>
              </c:strCache>
            </c:strRef>
          </c:tx>
          <c:spPr>
            <a:solidFill>
              <a:schemeClr val="accent3"/>
            </a:solidFill>
            <a:ln>
              <a:noFill/>
            </a:ln>
            <a:effectLst/>
          </c:spPr>
          <c:invertIfNegative val="0"/>
          <c:cat>
            <c:strRef>
              <c:f>Лист1!$A$2:$A$16</c:f>
              <c:strCache>
                <c:ptCount val="15"/>
                <c:pt idx="0">
                  <c:v>Distibuția apei, salubritate</c:v>
                </c:pt>
                <c:pt idx="1">
                  <c:v>Producția și furnizarea energie el/</c:v>
                </c:pt>
                <c:pt idx="2">
                  <c:v>Activități de cazare și alimentație publică</c:v>
                </c:pt>
                <c:pt idx="3">
                  <c:v>Activități financiare și asigurări</c:v>
                </c:pt>
                <c:pt idx="4">
                  <c:v>Altele</c:v>
                </c:pt>
                <c:pt idx="5">
                  <c:v>Sănătate și asistență socială</c:v>
                </c:pt>
                <c:pt idx="6">
                  <c:v>Activități de servicii administrative</c:v>
                </c:pt>
                <c:pt idx="7">
                  <c:v>Construcții</c:v>
                </c:pt>
                <c:pt idx="8">
                  <c:v>Transport și depozitare</c:v>
                </c:pt>
                <c:pt idx="9">
                  <c:v>Învățământ</c:v>
                </c:pt>
                <c:pt idx="10">
                  <c:v>Administrație publică și apărare</c:v>
                </c:pt>
                <c:pt idx="11">
                  <c:v>Comerț cu ridicata și amănuntul</c:v>
                </c:pt>
                <c:pt idx="12">
                  <c:v>Industrie</c:v>
                </c:pt>
                <c:pt idx="13">
                  <c:v>Agricultură, silvicultură și pescuit</c:v>
                </c:pt>
                <c:pt idx="14">
                  <c:v>Alte activități de servicii</c:v>
                </c:pt>
              </c:strCache>
            </c:strRef>
          </c:cat>
          <c:val>
            <c:numRef>
              <c:f>Лист1!$D$2:$D$16</c:f>
              <c:numCache>
                <c:formatCode>General</c:formatCode>
                <c:ptCount val="15"/>
              </c:numCache>
            </c:numRef>
          </c:val>
          <c:extLst>
            <c:ext xmlns:c16="http://schemas.microsoft.com/office/drawing/2014/chart" uri="{C3380CC4-5D6E-409C-BE32-E72D297353CC}">
              <c16:uniqueId val="{0000001D-0119-466E-A0F5-0552BD32CF0D}"/>
            </c:ext>
          </c:extLst>
        </c:ser>
        <c:dLbls>
          <c:showLegendKey val="0"/>
          <c:showVal val="0"/>
          <c:showCatName val="0"/>
          <c:showSerName val="0"/>
          <c:showPercent val="0"/>
          <c:showBubbleSize val="0"/>
        </c:dLbls>
        <c:gapWidth val="182"/>
        <c:axId val="724260991"/>
        <c:axId val="724274303"/>
      </c:barChart>
      <c:catAx>
        <c:axId val="7242609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mn-cs"/>
              </a:defRPr>
            </a:pPr>
            <a:endParaRPr lang="ro-MD"/>
          </a:p>
        </c:txPr>
        <c:crossAx val="724274303"/>
        <c:crosses val="autoZero"/>
        <c:auto val="1"/>
        <c:lblAlgn val="ctr"/>
        <c:lblOffset val="100"/>
        <c:noMultiLvlLbl val="0"/>
      </c:catAx>
      <c:valAx>
        <c:axId val="72427430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mn-cs"/>
              </a:defRPr>
            </a:pPr>
            <a:endParaRPr lang="ro-MD"/>
          </a:p>
        </c:txPr>
        <c:crossAx val="724260991"/>
        <c:crosses val="autoZero"/>
        <c:crossBetween val="between"/>
      </c:valAx>
      <c:spPr>
        <a:noFill/>
        <a:ln>
          <a:noFill/>
        </a:ln>
        <a:effectLst/>
      </c:spPr>
    </c:plotArea>
    <c:legend>
      <c:legendPos val="t"/>
      <c:legendEntry>
        <c:idx val="0"/>
        <c:delete val="1"/>
      </c:legendEntry>
      <c:legendEntry>
        <c:idx val="1"/>
        <c:txPr>
          <a:bodyPr rot="0" spcFirstLastPara="1" vertOverflow="ellipsis" vert="horz" wrap="square" anchor="ctr" anchorCtr="1"/>
          <a:lstStyle/>
          <a:p>
            <a:pPr>
              <a:defRPr sz="900" b="1" i="0" u="none" strike="noStrike" kern="1200" baseline="0">
                <a:solidFill>
                  <a:srgbClr val="C00000"/>
                </a:solidFill>
                <a:latin typeface="Times New Roman" panose="02020603050405020304" pitchFamily="18" charset="0"/>
                <a:ea typeface="+mn-ea"/>
                <a:cs typeface="+mn-cs"/>
              </a:defRPr>
            </a:pPr>
            <a:endParaRPr lang="ro-MD"/>
          </a:p>
        </c:txPr>
      </c:legendEntry>
      <c:legendEntry>
        <c:idx val="2"/>
        <c:txPr>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mn-cs"/>
              </a:defRPr>
            </a:pPr>
            <a:endParaRPr lang="ro-MD"/>
          </a:p>
        </c:txPr>
      </c:legendEntry>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mn-cs"/>
            </a:defRPr>
          </a:pPr>
          <a:endParaRPr lang="ro-MD"/>
        </a:p>
      </c:txPr>
    </c:legend>
    <c:plotVisOnly val="1"/>
    <c:dispBlanksAs val="gap"/>
    <c:showDLblsOverMax val="0"/>
  </c:chart>
  <c:spPr>
    <a:solidFill>
      <a:schemeClr val="bg1"/>
    </a:solidFill>
    <a:ln w="9525" cap="flat" cmpd="sng" algn="ctr">
      <a:solidFill>
        <a:schemeClr val="tx1"/>
      </a:solidFill>
      <a:round/>
    </a:ln>
    <a:effectLst/>
  </c:spPr>
  <c:txPr>
    <a:bodyPr/>
    <a:lstStyle/>
    <a:p>
      <a:pPr>
        <a:defRPr sz="900" b="1" i="0" baseline="0">
          <a:latin typeface="Times New Roman" panose="02020603050405020304" pitchFamily="18" charset="0"/>
        </a:defRPr>
      </a:pPr>
      <a:endParaRPr lang="ro-MD"/>
    </a:p>
  </c:txPr>
  <c:externalData r:id="rId4">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2023 înregistrați</c:v>
                </c:pt>
              </c:strCache>
            </c:strRef>
          </c:tx>
          <c:invertIfNegative val="0"/>
          <c:dLbls>
            <c:dLbl>
              <c:idx val="0"/>
              <c:layout>
                <c:manualLayout>
                  <c:x val="0"/>
                  <c:y val="6.398200224971816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5D0-433B-95E4-0BD686309F55}"/>
                </c:ext>
              </c:extLst>
            </c:dLbl>
            <c:dLbl>
              <c:idx val="1"/>
              <c:layout>
                <c:manualLayout>
                  <c:x val="0"/>
                  <c:y val="6.721630384437239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5D0-433B-95E4-0BD686309F55}"/>
                </c:ext>
              </c:extLst>
            </c:dLbl>
            <c:dLbl>
              <c:idx val="2"/>
              <c:layout>
                <c:manualLayout>
                  <c:x val="-5.0784270214816591E-17"/>
                  <c:y val="2.6890756302521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303-4C60-A6EB-683E9E9F6826}"/>
                </c:ext>
              </c:extLst>
            </c:dLbl>
            <c:dLbl>
              <c:idx val="3"/>
              <c:layout>
                <c:manualLayout>
                  <c:x val="0"/>
                  <c:y val="-1.46591676040494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5D0-433B-95E4-0BD686309F55}"/>
                </c:ext>
              </c:extLst>
            </c:dLbl>
            <c:dLbl>
              <c:idx val="4"/>
              <c:layout>
                <c:manualLayout>
                  <c:x val="-2.3148733832093703E-3"/>
                  <c:y val="1.5875074439224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5D0-433B-95E4-0BD686309F55}"/>
                </c:ext>
              </c:extLst>
            </c:dLbl>
            <c:dLbl>
              <c:idx val="5"/>
              <c:layout>
                <c:manualLayout>
                  <c:x val="-2.7700831024930748E-3"/>
                  <c:y val="1.19081585390061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5D0-433B-95E4-0BD686309F55}"/>
                </c:ext>
              </c:extLst>
            </c:dLbl>
            <c:dLbl>
              <c:idx val="6"/>
              <c:layout>
                <c:manualLayout>
                  <c:x val="0"/>
                  <c:y val="6.72057169324422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5D0-433B-95E4-0BD686309F55}"/>
                </c:ext>
              </c:extLst>
            </c:dLbl>
            <c:dLbl>
              <c:idx val="7"/>
              <c:layout>
                <c:manualLayout>
                  <c:x val="1.8596636639256659E-3"/>
                  <c:y val="1.86319063058293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5D0-433B-95E4-0BD686309F55}"/>
                </c:ext>
              </c:extLst>
            </c:dLbl>
            <c:dLbl>
              <c:idx val="8"/>
              <c:layout>
                <c:manualLayout>
                  <c:x val="-2.7700831024930748E-3"/>
                  <c:y val="6.72057169324422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5D0-433B-95E4-0BD686309F55}"/>
                </c:ext>
              </c:extLst>
            </c:dLbl>
            <c:dLbl>
              <c:idx val="9"/>
              <c:layout>
                <c:manualLayout>
                  <c:x val="-2.7700831024930748E-3"/>
                  <c:y val="-1.34512009528221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5D0-433B-95E4-0BD686309F55}"/>
                </c:ext>
              </c:extLst>
            </c:dLbl>
            <c:dLbl>
              <c:idx val="10"/>
              <c:layout>
                <c:manualLayout>
                  <c:x val="-2.7700831024930748E-3"/>
                  <c:y val="-1.5430424138159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5D0-433B-95E4-0BD686309F55}"/>
                </c:ext>
              </c:extLst>
            </c:dLbl>
            <c:dLbl>
              <c:idx val="11"/>
              <c:layout>
                <c:manualLayout>
                  <c:x val="0"/>
                  <c:y val="1.46559915304703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5D0-433B-95E4-0BD686309F55}"/>
                </c:ext>
              </c:extLst>
            </c:dLbl>
            <c:spPr>
              <a:noFill/>
              <a:ln>
                <a:noFill/>
              </a:ln>
              <a:effectLst/>
            </c:spPr>
            <c:txPr>
              <a:bodyPr/>
              <a:lstStyle/>
              <a:p>
                <a:pPr>
                  <a:defRPr sz="700" b="1" i="0" baseline="0">
                    <a:solidFill>
                      <a:srgbClr val="C00000"/>
                    </a:solidFill>
                    <a:latin typeface="Times New Roman" pitchFamily="18" charset="0"/>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Лист1!$A$2:$A$13</c:f>
              <c:strCache>
                <c:ptCount val="12"/>
                <c:pt idx="0">
                  <c:v>Ianuarie</c:v>
                </c:pt>
                <c:pt idx="1">
                  <c:v>Februarie</c:v>
                </c:pt>
                <c:pt idx="2">
                  <c:v>Martie</c:v>
                </c:pt>
                <c:pt idx="3">
                  <c:v>Aprilie</c:v>
                </c:pt>
                <c:pt idx="4">
                  <c:v>Mai</c:v>
                </c:pt>
                <c:pt idx="5">
                  <c:v>Iunie</c:v>
                </c:pt>
                <c:pt idx="6">
                  <c:v>iulie</c:v>
                </c:pt>
                <c:pt idx="7">
                  <c:v>August</c:v>
                </c:pt>
                <c:pt idx="8">
                  <c:v>Septembrie</c:v>
                </c:pt>
                <c:pt idx="9">
                  <c:v>Octombrie</c:v>
                </c:pt>
                <c:pt idx="10">
                  <c:v>Noiembrie</c:v>
                </c:pt>
                <c:pt idx="11">
                  <c:v>Decembrie</c:v>
                </c:pt>
              </c:strCache>
            </c:strRef>
          </c:cat>
          <c:val>
            <c:numRef>
              <c:f>Лист1!$B$2:$B$13</c:f>
              <c:numCache>
                <c:formatCode>General</c:formatCode>
                <c:ptCount val="12"/>
                <c:pt idx="0">
                  <c:v>3339</c:v>
                </c:pt>
                <c:pt idx="1">
                  <c:v>2948</c:v>
                </c:pt>
                <c:pt idx="2">
                  <c:v>2695</c:v>
                </c:pt>
                <c:pt idx="3">
                  <c:v>1351</c:v>
                </c:pt>
                <c:pt idx="4">
                  <c:v>2086</c:v>
                </c:pt>
                <c:pt idx="5">
                  <c:v>1612</c:v>
                </c:pt>
                <c:pt idx="6">
                  <c:v>1852</c:v>
                </c:pt>
                <c:pt idx="7">
                  <c:v>1563</c:v>
                </c:pt>
                <c:pt idx="8">
                  <c:v>1856</c:v>
                </c:pt>
                <c:pt idx="9">
                  <c:v>2261</c:v>
                </c:pt>
                <c:pt idx="10">
                  <c:v>2933</c:v>
                </c:pt>
                <c:pt idx="11">
                  <c:v>2011</c:v>
                </c:pt>
              </c:numCache>
            </c:numRef>
          </c:val>
          <c:extLst>
            <c:ext xmlns:c16="http://schemas.microsoft.com/office/drawing/2014/chart" uri="{C3380CC4-5D6E-409C-BE32-E72D297353CC}">
              <c16:uniqueId val="{0000000B-A5D0-433B-95E4-0BD686309F55}"/>
            </c:ext>
          </c:extLst>
        </c:ser>
        <c:dLbls>
          <c:showLegendKey val="0"/>
          <c:showVal val="0"/>
          <c:showCatName val="0"/>
          <c:showSerName val="0"/>
          <c:showPercent val="0"/>
          <c:showBubbleSize val="0"/>
        </c:dLbls>
        <c:gapWidth val="150"/>
        <c:axId val="111615360"/>
        <c:axId val="111810048"/>
      </c:barChart>
      <c:catAx>
        <c:axId val="111615360"/>
        <c:scaling>
          <c:orientation val="minMax"/>
        </c:scaling>
        <c:delete val="0"/>
        <c:axPos val="b"/>
        <c:numFmt formatCode="General" sourceLinked="0"/>
        <c:majorTickMark val="out"/>
        <c:minorTickMark val="none"/>
        <c:tickLblPos val="nextTo"/>
        <c:txPr>
          <a:bodyPr/>
          <a:lstStyle/>
          <a:p>
            <a:pPr>
              <a:defRPr sz="700" baseline="0">
                <a:latin typeface="Times New Roman" pitchFamily="18" charset="0"/>
              </a:defRPr>
            </a:pPr>
            <a:endParaRPr lang="ro-MD"/>
          </a:p>
        </c:txPr>
        <c:crossAx val="111810048"/>
        <c:crosses val="autoZero"/>
        <c:auto val="1"/>
        <c:lblAlgn val="ctr"/>
        <c:lblOffset val="100"/>
        <c:noMultiLvlLbl val="0"/>
      </c:catAx>
      <c:valAx>
        <c:axId val="111810048"/>
        <c:scaling>
          <c:orientation val="minMax"/>
        </c:scaling>
        <c:delete val="0"/>
        <c:axPos val="l"/>
        <c:majorGridlines/>
        <c:numFmt formatCode="General" sourceLinked="1"/>
        <c:majorTickMark val="out"/>
        <c:minorTickMark val="none"/>
        <c:tickLblPos val="nextTo"/>
        <c:txPr>
          <a:bodyPr/>
          <a:lstStyle/>
          <a:p>
            <a:pPr>
              <a:defRPr sz="700" baseline="0">
                <a:latin typeface="Times New Roman" pitchFamily="18" charset="0"/>
              </a:defRPr>
            </a:pPr>
            <a:endParaRPr lang="ro-MD"/>
          </a:p>
        </c:txPr>
        <c:crossAx val="111615360"/>
        <c:crosses val="autoZero"/>
        <c:crossBetween val="between"/>
      </c:valAx>
    </c:plotArea>
    <c:plotVisOnly val="1"/>
    <c:dispBlanksAs val="gap"/>
    <c:showDLblsOverMax val="0"/>
  </c:chart>
  <c:spPr>
    <a:ln>
      <a:solidFill>
        <a:sysClr val="windowText" lastClr="000000"/>
      </a:solidFill>
    </a:ln>
  </c:spPr>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2022</c:v>
                </c:pt>
              </c:strCache>
            </c:strRef>
          </c:tx>
          <c:spPr>
            <a:solidFill>
              <a:schemeClr val="accent1"/>
            </a:solidFill>
            <a:ln>
              <a:noFill/>
            </a:ln>
            <a:effectLst/>
          </c:spPr>
          <c:invertIfNegative val="0"/>
          <c:dLbls>
            <c:dLbl>
              <c:idx val="0"/>
              <c:layout>
                <c:manualLayout>
                  <c:x val="-9.0320638265843738E-3"/>
                  <c:y val="2.30680507497115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8F3-4408-9F5A-0C943259AA38}"/>
                </c:ext>
              </c:extLst>
            </c:dLbl>
            <c:dLbl>
              <c:idx val="1"/>
              <c:layout>
                <c:manualLayout>
                  <c:x val="-1.2042751768779222E-2"/>
                  <c:y val="2.3068050749711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8F3-4408-9F5A-0C943259AA38}"/>
                </c:ext>
              </c:extLst>
            </c:dLbl>
            <c:dLbl>
              <c:idx val="2"/>
              <c:layout>
                <c:manualLayout>
                  <c:x val="-1.2042751768779166E-2"/>
                  <c:y val="1.53787004998076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8F3-4408-9F5A-0C943259AA38}"/>
                </c:ext>
              </c:extLst>
            </c:dLbl>
            <c:dLbl>
              <c:idx val="3"/>
              <c:layout>
                <c:manualLayout>
                  <c:x val="-6.0213758843895831E-3"/>
                  <c:y val="1.53787004998077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8F3-4408-9F5A-0C943259AA38}"/>
                </c:ext>
              </c:extLst>
            </c:dLbl>
            <c:dLbl>
              <c:idx val="4"/>
              <c:layout>
                <c:manualLayout>
                  <c:x val="-3.0106879421949017E-3"/>
                  <c:y val="7.689350249903883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8F3-4408-9F5A-0C943259AA38}"/>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2"/>
                    </a:solidFill>
                    <a:latin typeface="Times New Roman" panose="02020603050405020304" pitchFamily="18" charset="0"/>
                    <a:ea typeface="+mn-ea"/>
                    <a:cs typeface="+mn-cs"/>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mun. Chișinău</c:v>
                </c:pt>
                <c:pt idx="1">
                  <c:v>Nord</c:v>
                </c:pt>
                <c:pt idx="2">
                  <c:v>Centru</c:v>
                </c:pt>
                <c:pt idx="3">
                  <c:v>Sud</c:v>
                </c:pt>
              </c:strCache>
            </c:strRef>
          </c:cat>
          <c:val>
            <c:numRef>
              <c:f>Лист1!$B$2:$B$5</c:f>
              <c:numCache>
                <c:formatCode>General</c:formatCode>
                <c:ptCount val="4"/>
                <c:pt idx="0">
                  <c:v>3027</c:v>
                </c:pt>
                <c:pt idx="1">
                  <c:v>14495</c:v>
                </c:pt>
                <c:pt idx="2">
                  <c:v>9691</c:v>
                </c:pt>
                <c:pt idx="3">
                  <c:v>7813</c:v>
                </c:pt>
              </c:numCache>
            </c:numRef>
          </c:val>
          <c:extLst>
            <c:ext xmlns:c16="http://schemas.microsoft.com/office/drawing/2014/chart" uri="{C3380CC4-5D6E-409C-BE32-E72D297353CC}">
              <c16:uniqueId val="{00000000-58F3-4408-9F5A-0C943259AA38}"/>
            </c:ext>
          </c:extLst>
        </c:ser>
        <c:ser>
          <c:idx val="1"/>
          <c:order val="1"/>
          <c:tx>
            <c:strRef>
              <c:f>Лист1!$C$1</c:f>
              <c:strCache>
                <c:ptCount val="1"/>
                <c:pt idx="0">
                  <c:v>2023</c:v>
                </c:pt>
              </c:strCache>
            </c:strRef>
          </c:tx>
          <c:spPr>
            <a:solidFill>
              <a:schemeClr val="accent2"/>
            </a:solidFill>
            <a:ln>
              <a:noFill/>
            </a:ln>
            <a:effectLst/>
          </c:spPr>
          <c:invertIfNegative val="0"/>
          <c:dLbls>
            <c:dLbl>
              <c:idx val="0"/>
              <c:layout>
                <c:manualLayout>
                  <c:x val="3.0106879421947638E-3"/>
                  <c:y val="-7.689350249903883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8F3-4408-9F5A-0C943259AA38}"/>
                </c:ext>
              </c:extLst>
            </c:dLbl>
            <c:dLbl>
              <c:idx val="1"/>
              <c:layout>
                <c:manualLayout>
                  <c:x val="1.2042751768779166E-2"/>
                  <c:y val="2.3068050749711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8F3-4408-9F5A-0C943259AA38}"/>
                </c:ext>
              </c:extLst>
            </c:dLbl>
            <c:dLbl>
              <c:idx val="2"/>
              <c:layout>
                <c:manualLayout>
                  <c:x val="9.03206382658432E-3"/>
                  <c:y val="1.53787004998076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8F3-4408-9F5A-0C943259AA38}"/>
                </c:ext>
              </c:extLst>
            </c:dLbl>
            <c:dLbl>
              <c:idx val="3"/>
              <c:layout>
                <c:manualLayout>
                  <c:x val="6.0213758843895831E-3"/>
                  <c:y val="7.689350249903812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8F3-4408-9F5A-0C943259AA38}"/>
                </c:ext>
              </c:extLst>
            </c:dLbl>
            <c:dLbl>
              <c:idx val="4"/>
              <c:layout>
                <c:manualLayout>
                  <c:x val="1.8064127653168748E-2"/>
                  <c:y val="3.07574009996153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8F3-4408-9F5A-0C943259AA38}"/>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rgbClr val="C00000"/>
                    </a:solidFill>
                    <a:latin typeface="Times New Roman" panose="02020603050405020304" pitchFamily="18" charset="0"/>
                    <a:ea typeface="+mn-ea"/>
                    <a:cs typeface="+mn-cs"/>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mun. Chișinău</c:v>
                </c:pt>
                <c:pt idx="1">
                  <c:v>Nord</c:v>
                </c:pt>
                <c:pt idx="2">
                  <c:v>Centru</c:v>
                </c:pt>
                <c:pt idx="3">
                  <c:v>Sud</c:v>
                </c:pt>
              </c:strCache>
            </c:strRef>
          </c:cat>
          <c:val>
            <c:numRef>
              <c:f>Лист1!$C$2:$C$5</c:f>
              <c:numCache>
                <c:formatCode>General</c:formatCode>
                <c:ptCount val="4"/>
                <c:pt idx="0">
                  <c:v>2908</c:v>
                </c:pt>
                <c:pt idx="1">
                  <c:v>9800</c:v>
                </c:pt>
                <c:pt idx="2">
                  <c:v>7564</c:v>
                </c:pt>
                <c:pt idx="3">
                  <c:v>6235</c:v>
                </c:pt>
              </c:numCache>
            </c:numRef>
          </c:val>
          <c:extLst>
            <c:ext xmlns:c16="http://schemas.microsoft.com/office/drawing/2014/chart" uri="{C3380CC4-5D6E-409C-BE32-E72D297353CC}">
              <c16:uniqueId val="{00000001-58F3-4408-9F5A-0C943259AA38}"/>
            </c:ext>
          </c:extLst>
        </c:ser>
        <c:dLbls>
          <c:showLegendKey val="0"/>
          <c:showVal val="0"/>
          <c:showCatName val="0"/>
          <c:showSerName val="0"/>
          <c:showPercent val="0"/>
          <c:showBubbleSize val="0"/>
        </c:dLbls>
        <c:gapWidth val="219"/>
        <c:overlap val="-27"/>
        <c:axId val="2033539568"/>
        <c:axId val="2033535824"/>
      </c:barChart>
      <c:catAx>
        <c:axId val="2033539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mn-cs"/>
              </a:defRPr>
            </a:pPr>
            <a:endParaRPr lang="ro-MD"/>
          </a:p>
        </c:txPr>
        <c:crossAx val="2033535824"/>
        <c:crosses val="autoZero"/>
        <c:auto val="1"/>
        <c:lblAlgn val="ctr"/>
        <c:lblOffset val="100"/>
        <c:noMultiLvlLbl val="0"/>
      </c:catAx>
      <c:valAx>
        <c:axId val="2033535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mn-cs"/>
              </a:defRPr>
            </a:pPr>
            <a:endParaRPr lang="ro-MD"/>
          </a:p>
        </c:txPr>
        <c:crossAx val="2033539568"/>
        <c:crosses val="autoZero"/>
        <c:crossBetween val="between"/>
      </c:valAx>
      <c:spPr>
        <a:noFill/>
        <a:ln>
          <a:noFill/>
        </a:ln>
        <a:effectLst/>
      </c:spPr>
    </c:plotArea>
    <c:legend>
      <c:legendPos val="r"/>
      <c:legendEntry>
        <c:idx val="0"/>
        <c:txPr>
          <a:bodyPr rot="0" spcFirstLastPara="1" vertOverflow="ellipsis" vert="horz" wrap="square" anchor="ctr" anchorCtr="1"/>
          <a:lstStyle/>
          <a:p>
            <a:pPr>
              <a:defRPr sz="800" b="1" i="0" u="none" strike="noStrike" kern="1200" baseline="0">
                <a:solidFill>
                  <a:schemeClr val="tx2"/>
                </a:solidFill>
                <a:latin typeface="Times New Roman" panose="02020603050405020304" pitchFamily="18" charset="0"/>
                <a:ea typeface="+mn-ea"/>
                <a:cs typeface="+mn-cs"/>
              </a:defRPr>
            </a:pPr>
            <a:endParaRPr lang="ro-MD"/>
          </a:p>
        </c:txPr>
      </c:legendEntry>
      <c:legendEntry>
        <c:idx val="1"/>
        <c:txPr>
          <a:bodyPr rot="0" spcFirstLastPara="1" vertOverflow="ellipsis" vert="horz" wrap="square" anchor="ctr" anchorCtr="1"/>
          <a:lstStyle/>
          <a:p>
            <a:pPr>
              <a:defRPr sz="800" b="1" i="0" u="none" strike="noStrike" kern="1200" baseline="0">
                <a:solidFill>
                  <a:srgbClr val="C00000"/>
                </a:solidFill>
                <a:latin typeface="Times New Roman" panose="02020603050405020304" pitchFamily="18" charset="0"/>
                <a:ea typeface="+mn-ea"/>
                <a:cs typeface="+mn-cs"/>
              </a:defRPr>
            </a:pPr>
            <a:endParaRPr lang="ro-MD"/>
          </a:p>
        </c:txPr>
      </c:legendEntry>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mn-cs"/>
            </a:defRPr>
          </a:pPr>
          <a:endParaRPr lang="ro-MD"/>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ro-MD"/>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Șomeri înregistrați</c:v>
                </c:pt>
              </c:strCache>
            </c:strRef>
          </c:tx>
          <c:invertIfNegative val="0"/>
          <c:dLbls>
            <c:dLbl>
              <c:idx val="0"/>
              <c:layout>
                <c:manualLayout>
                  <c:x val="1.1653933290841325E-2"/>
                  <c:y val="-6.992759222473947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F3D-472C-AA22-FA673D43EFBF}"/>
                </c:ext>
              </c:extLst>
            </c:dLbl>
            <c:dLbl>
              <c:idx val="1"/>
              <c:layout>
                <c:manualLayout>
                  <c:x val="1.428071761885669E-2"/>
                  <c:y val="-9.24452418555387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F3D-472C-AA22-FA673D43EFBF}"/>
                </c:ext>
              </c:extLst>
            </c:dLbl>
            <c:spPr>
              <a:noFill/>
              <a:ln>
                <a:noFill/>
              </a:ln>
              <a:effectLst/>
            </c:spPr>
            <c:txPr>
              <a:bodyPr/>
              <a:lstStyle/>
              <a:p>
                <a:pPr>
                  <a:defRPr sz="700" b="1" i="0" baseline="0">
                    <a:solidFill>
                      <a:schemeClr val="tx2"/>
                    </a:solidFill>
                    <a:latin typeface="Times New Roman" pitchFamily="18" charset="0"/>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Лист1!$A$2:$A$3</c:f>
              <c:numCache>
                <c:formatCode>General</c:formatCode>
                <c:ptCount val="2"/>
                <c:pt idx="0">
                  <c:v>2022</c:v>
                </c:pt>
                <c:pt idx="1">
                  <c:v>2023</c:v>
                </c:pt>
              </c:numCache>
            </c:numRef>
          </c:cat>
          <c:val>
            <c:numRef>
              <c:f>Лист1!$B$2:$B$3</c:f>
              <c:numCache>
                <c:formatCode>General</c:formatCode>
                <c:ptCount val="2"/>
                <c:pt idx="0">
                  <c:v>35003</c:v>
                </c:pt>
                <c:pt idx="1">
                  <c:v>26507</c:v>
                </c:pt>
              </c:numCache>
            </c:numRef>
          </c:val>
          <c:extLst>
            <c:ext xmlns:c16="http://schemas.microsoft.com/office/drawing/2014/chart" uri="{C3380CC4-5D6E-409C-BE32-E72D297353CC}">
              <c16:uniqueId val="{00000002-1F3D-472C-AA22-FA673D43EFBF}"/>
            </c:ext>
          </c:extLst>
        </c:ser>
        <c:ser>
          <c:idx val="1"/>
          <c:order val="1"/>
          <c:tx>
            <c:strRef>
              <c:f>Лист1!$C$1</c:f>
              <c:strCache>
                <c:ptCount val="1"/>
                <c:pt idx="0">
                  <c:v>Șomeri plasați</c:v>
                </c:pt>
              </c:strCache>
            </c:strRef>
          </c:tx>
          <c:invertIfNegative val="0"/>
          <c:dLbls>
            <c:dLbl>
              <c:idx val="0"/>
              <c:layout>
                <c:manualLayout>
                  <c:x val="8.4638661770745621E-3"/>
                  <c:y val="-4.82384292676675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F3D-472C-AA22-FA673D43EFBF}"/>
                </c:ext>
              </c:extLst>
            </c:dLbl>
            <c:dLbl>
              <c:idx val="1"/>
              <c:layout>
                <c:manualLayout>
                  <c:x val="8.7441477615775604E-3"/>
                  <c:y val="-7.41635908135643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F3D-472C-AA22-FA673D43EFBF}"/>
                </c:ext>
              </c:extLst>
            </c:dLbl>
            <c:spPr>
              <a:noFill/>
              <a:ln>
                <a:noFill/>
              </a:ln>
              <a:effectLst/>
            </c:spPr>
            <c:txPr>
              <a:bodyPr/>
              <a:lstStyle/>
              <a:p>
                <a:pPr>
                  <a:defRPr sz="600" b="1" i="0" baseline="0">
                    <a:solidFill>
                      <a:srgbClr val="C00000"/>
                    </a:solidFill>
                    <a:latin typeface="Times New Roman" pitchFamily="18" charset="0"/>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Лист1!$A$2:$A$3</c:f>
              <c:numCache>
                <c:formatCode>General</c:formatCode>
                <c:ptCount val="2"/>
                <c:pt idx="0">
                  <c:v>2022</c:v>
                </c:pt>
                <c:pt idx="1">
                  <c:v>2023</c:v>
                </c:pt>
              </c:numCache>
            </c:numRef>
          </c:cat>
          <c:val>
            <c:numRef>
              <c:f>Лист1!$C$2:$C$3</c:f>
              <c:numCache>
                <c:formatCode>General</c:formatCode>
                <c:ptCount val="2"/>
                <c:pt idx="0">
                  <c:v>8234</c:v>
                </c:pt>
                <c:pt idx="1">
                  <c:v>8918</c:v>
                </c:pt>
              </c:numCache>
            </c:numRef>
          </c:val>
          <c:extLst>
            <c:ext xmlns:c16="http://schemas.microsoft.com/office/drawing/2014/chart" uri="{C3380CC4-5D6E-409C-BE32-E72D297353CC}">
              <c16:uniqueId val="{00000005-1F3D-472C-AA22-FA673D43EFBF}"/>
            </c:ext>
          </c:extLst>
        </c:ser>
        <c:ser>
          <c:idx val="2"/>
          <c:order val="2"/>
          <c:tx>
            <c:strRef>
              <c:f>Лист1!$D$1</c:f>
              <c:strCache>
                <c:ptCount val="1"/>
                <c:pt idx="0">
                  <c:v>Locuri vacante</c:v>
                </c:pt>
              </c:strCache>
            </c:strRef>
          </c:tx>
          <c:invertIfNegative val="0"/>
          <c:dLbls>
            <c:dLbl>
              <c:idx val="0"/>
              <c:layout>
                <c:manualLayout>
                  <c:x val="1.6664249579853383E-2"/>
                  <c:y val="-5.92341586789444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F3D-472C-AA22-FA673D43EFBF}"/>
                </c:ext>
              </c:extLst>
            </c:dLbl>
            <c:dLbl>
              <c:idx val="1"/>
              <c:layout>
                <c:manualLayout>
                  <c:x val="1.7521970100433003E-2"/>
                  <c:y val="-6.63844736018814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F3D-472C-AA22-FA673D43EFBF}"/>
                </c:ext>
              </c:extLst>
            </c:dLbl>
            <c:spPr>
              <a:noFill/>
              <a:ln>
                <a:noFill/>
              </a:ln>
              <a:effectLst/>
            </c:spPr>
            <c:txPr>
              <a:bodyPr/>
              <a:lstStyle/>
              <a:p>
                <a:pPr>
                  <a:defRPr sz="700" b="1" i="0" baseline="0">
                    <a:solidFill>
                      <a:schemeClr val="accent3">
                        <a:lumMod val="75000"/>
                      </a:schemeClr>
                    </a:solidFill>
                    <a:latin typeface="Times New Roman" pitchFamily="18" charset="0"/>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Лист1!$A$2:$A$3</c:f>
              <c:numCache>
                <c:formatCode>General</c:formatCode>
                <c:ptCount val="2"/>
                <c:pt idx="0">
                  <c:v>2022</c:v>
                </c:pt>
                <c:pt idx="1">
                  <c:v>2023</c:v>
                </c:pt>
              </c:numCache>
            </c:numRef>
          </c:cat>
          <c:val>
            <c:numRef>
              <c:f>Лист1!$D$2:$D$3</c:f>
              <c:numCache>
                <c:formatCode>General</c:formatCode>
                <c:ptCount val="2"/>
                <c:pt idx="0">
                  <c:v>32109</c:v>
                </c:pt>
                <c:pt idx="1">
                  <c:v>32217</c:v>
                </c:pt>
              </c:numCache>
            </c:numRef>
          </c:val>
          <c:extLst>
            <c:ext xmlns:c16="http://schemas.microsoft.com/office/drawing/2014/chart" uri="{C3380CC4-5D6E-409C-BE32-E72D297353CC}">
              <c16:uniqueId val="{00000008-1F3D-472C-AA22-FA673D43EFBF}"/>
            </c:ext>
          </c:extLst>
        </c:ser>
        <c:dLbls>
          <c:showLegendKey val="0"/>
          <c:showVal val="0"/>
          <c:showCatName val="0"/>
          <c:showSerName val="0"/>
          <c:showPercent val="0"/>
          <c:showBubbleSize val="0"/>
        </c:dLbls>
        <c:gapWidth val="150"/>
        <c:shape val="box"/>
        <c:axId val="82471552"/>
        <c:axId val="82485632"/>
        <c:axId val="0"/>
      </c:bar3DChart>
      <c:catAx>
        <c:axId val="82471552"/>
        <c:scaling>
          <c:orientation val="minMax"/>
        </c:scaling>
        <c:delete val="0"/>
        <c:axPos val="b"/>
        <c:numFmt formatCode="General" sourceLinked="1"/>
        <c:majorTickMark val="out"/>
        <c:minorTickMark val="none"/>
        <c:tickLblPos val="nextTo"/>
        <c:txPr>
          <a:bodyPr/>
          <a:lstStyle/>
          <a:p>
            <a:pPr>
              <a:defRPr sz="800" b="1" i="0" baseline="0">
                <a:latin typeface="Times New Roman" pitchFamily="18" charset="0"/>
              </a:defRPr>
            </a:pPr>
            <a:endParaRPr lang="ro-MD"/>
          </a:p>
        </c:txPr>
        <c:crossAx val="82485632"/>
        <c:crosses val="autoZero"/>
        <c:auto val="1"/>
        <c:lblAlgn val="ctr"/>
        <c:lblOffset val="100"/>
        <c:noMultiLvlLbl val="0"/>
      </c:catAx>
      <c:valAx>
        <c:axId val="82485632"/>
        <c:scaling>
          <c:orientation val="minMax"/>
        </c:scaling>
        <c:delete val="0"/>
        <c:axPos val="l"/>
        <c:majorGridlines/>
        <c:numFmt formatCode="General" sourceLinked="1"/>
        <c:majorTickMark val="out"/>
        <c:minorTickMark val="none"/>
        <c:tickLblPos val="nextTo"/>
        <c:txPr>
          <a:bodyPr/>
          <a:lstStyle/>
          <a:p>
            <a:pPr>
              <a:defRPr sz="800" baseline="0">
                <a:latin typeface="Times New Roman" pitchFamily="18" charset="0"/>
              </a:defRPr>
            </a:pPr>
            <a:endParaRPr lang="ro-MD"/>
          </a:p>
        </c:txPr>
        <c:crossAx val="82471552"/>
        <c:crosses val="autoZero"/>
        <c:crossBetween val="between"/>
      </c:valAx>
    </c:plotArea>
    <c:legend>
      <c:legendPos val="r"/>
      <c:legendEntry>
        <c:idx val="0"/>
        <c:txPr>
          <a:bodyPr/>
          <a:lstStyle/>
          <a:p>
            <a:pPr>
              <a:defRPr sz="800" baseline="0">
                <a:solidFill>
                  <a:schemeClr val="tx2"/>
                </a:solidFill>
                <a:latin typeface="Times New Roman" pitchFamily="18" charset="0"/>
              </a:defRPr>
            </a:pPr>
            <a:endParaRPr lang="ro-MD"/>
          </a:p>
        </c:txPr>
      </c:legendEntry>
      <c:legendEntry>
        <c:idx val="1"/>
        <c:txPr>
          <a:bodyPr/>
          <a:lstStyle/>
          <a:p>
            <a:pPr>
              <a:defRPr sz="800" baseline="0">
                <a:solidFill>
                  <a:srgbClr val="C00000"/>
                </a:solidFill>
                <a:latin typeface="Times New Roman" pitchFamily="18" charset="0"/>
              </a:defRPr>
            </a:pPr>
            <a:endParaRPr lang="ro-MD"/>
          </a:p>
        </c:txPr>
      </c:legendEntry>
      <c:legendEntry>
        <c:idx val="2"/>
        <c:txPr>
          <a:bodyPr/>
          <a:lstStyle/>
          <a:p>
            <a:pPr>
              <a:defRPr sz="800" baseline="0">
                <a:solidFill>
                  <a:schemeClr val="accent3">
                    <a:lumMod val="75000"/>
                  </a:schemeClr>
                </a:solidFill>
                <a:latin typeface="Times New Roman" pitchFamily="18" charset="0"/>
              </a:defRPr>
            </a:pPr>
            <a:endParaRPr lang="ro-MD"/>
          </a:p>
        </c:txPr>
      </c:legendEntry>
      <c:overlay val="0"/>
      <c:txPr>
        <a:bodyPr/>
        <a:lstStyle/>
        <a:p>
          <a:pPr>
            <a:defRPr sz="800" baseline="0">
              <a:latin typeface="Times New Roman" pitchFamily="18" charset="0"/>
            </a:defRPr>
          </a:pPr>
          <a:endParaRPr lang="ro-MD"/>
        </a:p>
      </c:txPr>
    </c:legend>
    <c:plotVisOnly val="1"/>
    <c:dispBlanksAs val="gap"/>
    <c:showDLblsOverMax val="0"/>
  </c:chart>
  <c:spPr>
    <a:ln>
      <a:solidFill>
        <a:schemeClr val="tx1"/>
      </a:solidFill>
    </a:ln>
  </c:spPr>
  <c:externalData r:id="rId2">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pt idx="0">
                  <c:v>2023</c:v>
                </c:pt>
              </c:strCache>
            </c:strRef>
          </c:tx>
          <c:spPr>
            <a:solidFill>
              <a:schemeClr val="accent1"/>
            </a:solidFill>
            <a:ln>
              <a:noFill/>
            </a:ln>
            <a:effectLst/>
          </c:spPr>
          <c:invertIfNegative val="0"/>
          <c:dLbls>
            <c:dLbl>
              <c:idx val="2"/>
              <c:layout>
                <c:manualLayout>
                  <c:x val="-2.3148148148148997E-3"/>
                  <c:y val="4.511617414843221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96D-47C0-9A3D-AF17C09FB66C}"/>
                </c:ext>
              </c:extLst>
            </c:dLbl>
            <c:dLbl>
              <c:idx val="3"/>
              <c:layout>
                <c:manualLayout>
                  <c:x val="0"/>
                  <c:y val="9.023234829686442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96D-47C0-9A3D-AF17C09FB66C}"/>
                </c:ext>
              </c:extLst>
            </c:dLbl>
            <c:dLbl>
              <c:idx val="4"/>
              <c:layout>
                <c:manualLayout>
                  <c:x val="-9.259259259259343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96D-47C0-9A3D-AF17C09FB66C}"/>
                </c:ext>
              </c:extLst>
            </c:dLbl>
            <c:dLbl>
              <c:idx val="5"/>
              <c:layout>
                <c:manualLayout>
                  <c:x val="-4.6296296296296294E-3"/>
                  <c:y val="1.3534852244529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96D-47C0-9A3D-AF17C09FB66C}"/>
                </c:ext>
              </c:extLst>
            </c:dLbl>
            <c:dLbl>
              <c:idx val="6"/>
              <c:layout>
                <c:manualLayout>
                  <c:x val="-6.9444444444445291E-3"/>
                  <c:y val="4.511617414843221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96D-47C0-9A3D-AF17C09FB66C}"/>
                </c:ext>
              </c:extLst>
            </c:dLbl>
            <c:dLbl>
              <c:idx val="7"/>
              <c:layout>
                <c:manualLayout>
                  <c:x val="-9.2592592592593437E-3"/>
                  <c:y val="9.023234829686359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96D-47C0-9A3D-AF17C09FB66C}"/>
                </c:ext>
              </c:extLst>
            </c:dLbl>
            <c:dLbl>
              <c:idx val="8"/>
              <c:layout>
                <c:manualLayout>
                  <c:x val="-1.4154304972873344E-2"/>
                  <c:y val="2.18727156374967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96D-47C0-9A3D-AF17C09FB66C}"/>
                </c:ext>
              </c:extLst>
            </c:dLbl>
            <c:dLbl>
              <c:idx val="9"/>
              <c:layout>
                <c:manualLayout>
                  <c:x val="-6.9444996376174838E-3"/>
                  <c:y val="1.73607756145804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96D-47C0-9A3D-AF17C09FB66C}"/>
                </c:ext>
              </c:extLst>
            </c:dLbl>
            <c:dLbl>
              <c:idx val="10"/>
              <c:layout>
                <c:manualLayout>
                  <c:x val="-6.9444996376173962E-3"/>
                  <c:y val="1.73607756145804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96D-47C0-9A3D-AF17C09FB66C}"/>
                </c:ext>
              </c:extLst>
            </c:dLbl>
            <c:dLbl>
              <c:idx val="11"/>
              <c:layout>
                <c:manualLayout>
                  <c:x val="-6.9444996376175723E-3"/>
                  <c:y val="-1.913236592293936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96D-47C0-9A3D-AF17C09FB66C}"/>
                </c:ext>
              </c:extLst>
            </c:dLbl>
            <c:dLbl>
              <c:idx val="12"/>
              <c:layout>
                <c:manualLayout>
                  <c:x val="-6.9444444444445291E-3"/>
                  <c:y val="4.511617414843221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96D-47C0-9A3D-AF17C09FB66C}"/>
                </c:ext>
              </c:extLst>
            </c:dLbl>
            <c:dLbl>
              <c:idx val="13"/>
              <c:layout>
                <c:manualLayout>
                  <c:x val="-2.5462962962962962E-2"/>
                  <c:y val="2.25580870742160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96D-47C0-9A3D-AF17C09FB66C}"/>
                </c:ext>
              </c:extLst>
            </c:dLbl>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chemeClr val="tx2"/>
                    </a:solidFill>
                    <a:latin typeface="Times New Roman" panose="02020603050405020304" pitchFamily="18" charset="0"/>
                    <a:ea typeface="+mn-ea"/>
                    <a:cs typeface="+mn-cs"/>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Лист1!$A$2:$A$12</c:f>
              <c:strCache>
                <c:ptCount val="11"/>
                <c:pt idx="0">
                  <c:v>Activități de cazare și alimentație publică </c:v>
                </c:pt>
                <c:pt idx="1">
                  <c:v>Informații și comunicații</c:v>
                </c:pt>
                <c:pt idx="2">
                  <c:v>Sănătate și asistență socială </c:v>
                </c:pt>
                <c:pt idx="3">
                  <c:v>Învățământ</c:v>
                </c:pt>
                <c:pt idx="4">
                  <c:v>Transport și depozitare</c:v>
                </c:pt>
                <c:pt idx="5">
                  <c:v>Construcții</c:v>
                </c:pt>
                <c:pt idx="6">
                  <c:v>Administrație publică și apărare</c:v>
                </c:pt>
                <c:pt idx="7">
                  <c:v>Agricultură, silvicultură și pescuit </c:v>
                </c:pt>
                <c:pt idx="8">
                  <c:v>Comerț cu ridicata și amănuntul </c:v>
                </c:pt>
                <c:pt idx="9">
                  <c:v>Industrie</c:v>
                </c:pt>
                <c:pt idx="10">
                  <c:v>Alte activități de servicii</c:v>
                </c:pt>
              </c:strCache>
            </c:strRef>
          </c:cat>
          <c:val>
            <c:numRef>
              <c:f>Лист1!$B$2:$B$12</c:f>
              <c:numCache>
                <c:formatCode>0%</c:formatCode>
                <c:ptCount val="11"/>
                <c:pt idx="0">
                  <c:v>0.01</c:v>
                </c:pt>
                <c:pt idx="1">
                  <c:v>0.01</c:v>
                </c:pt>
                <c:pt idx="2">
                  <c:v>0.02</c:v>
                </c:pt>
                <c:pt idx="3">
                  <c:v>0.03</c:v>
                </c:pt>
                <c:pt idx="4">
                  <c:v>0.03</c:v>
                </c:pt>
                <c:pt idx="5">
                  <c:v>0.03</c:v>
                </c:pt>
                <c:pt idx="6">
                  <c:v>0.04</c:v>
                </c:pt>
                <c:pt idx="7">
                  <c:v>0.11</c:v>
                </c:pt>
                <c:pt idx="8">
                  <c:v>0.11</c:v>
                </c:pt>
                <c:pt idx="9">
                  <c:v>0.13</c:v>
                </c:pt>
                <c:pt idx="10">
                  <c:v>0.35</c:v>
                </c:pt>
              </c:numCache>
            </c:numRef>
          </c:val>
          <c:extLst>
            <c:ext xmlns:c16="http://schemas.microsoft.com/office/drawing/2014/chart" uri="{C3380CC4-5D6E-409C-BE32-E72D297353CC}">
              <c16:uniqueId val="{0000000C-296D-47C0-9A3D-AF17C09FB66C}"/>
            </c:ext>
          </c:extLst>
        </c:ser>
        <c:ser>
          <c:idx val="1"/>
          <c:order val="1"/>
          <c:tx>
            <c:strRef>
              <c:f>Лист1!$C$1</c:f>
              <c:strCache>
                <c:ptCount val="1"/>
                <c:pt idx="0">
                  <c:v>2022</c:v>
                </c:pt>
              </c:strCache>
            </c:strRef>
          </c:tx>
          <c:spPr>
            <a:solidFill>
              <a:schemeClr val="accent2"/>
            </a:solidFill>
            <a:ln>
              <a:noFill/>
            </a:ln>
            <a:effectLst/>
          </c:spPr>
          <c:invertIfNegative val="0"/>
          <c:dLbls>
            <c:dLbl>
              <c:idx val="0"/>
              <c:layout>
                <c:manualLayout>
                  <c:x val="-1.1751036527788028E-2"/>
                  <c:y val="-1.0936104878955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96D-47C0-9A3D-AF17C09FB66C}"/>
                </c:ext>
              </c:extLst>
            </c:dLbl>
            <c:dLbl>
              <c:idx val="1"/>
              <c:layout>
                <c:manualLayout>
                  <c:x val="-1.4154304972873344E-2"/>
                  <c:y val="-6.424670735624799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96D-47C0-9A3D-AF17C09FB66C}"/>
                </c:ext>
              </c:extLst>
            </c:dLbl>
            <c:dLbl>
              <c:idx val="2"/>
              <c:layout>
                <c:manualLayout>
                  <c:x val="-7.2098053352559919E-3"/>
                  <c:y val="-1.09361048789556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96D-47C0-9A3D-AF17C09FB66C}"/>
                </c:ext>
              </c:extLst>
            </c:dLbl>
            <c:dLbl>
              <c:idx val="3"/>
              <c:layout>
                <c:manualLayout>
                  <c:x val="-1.1839408682422267E-2"/>
                  <c:y val="-6.424670735624917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296D-47C0-9A3D-AF17C09FB66C}"/>
                </c:ext>
              </c:extLst>
            </c:dLbl>
            <c:dLbl>
              <c:idx val="4"/>
              <c:layout>
                <c:manualLayout>
                  <c:x val="-2.3148148148148147E-3"/>
                  <c:y val="-9.023234829686525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296D-47C0-9A3D-AF17C09FB66C}"/>
                </c:ext>
              </c:extLst>
            </c:dLbl>
            <c:dLbl>
              <c:idx val="5"/>
              <c:layout>
                <c:manualLayout>
                  <c:x val="-2.3148148148148147E-3"/>
                  <c:y val="-9.023234829686525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296D-47C0-9A3D-AF17C09FB66C}"/>
                </c:ext>
              </c:extLst>
            </c:dLbl>
            <c:dLbl>
              <c:idx val="6"/>
              <c:layout>
                <c:manualLayout>
                  <c:x val="-6.9444444444445291E-3"/>
                  <c:y val="-4.511617414843221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296D-47C0-9A3D-AF17C09FB66C}"/>
                </c:ext>
              </c:extLst>
            </c:dLbl>
            <c:dLbl>
              <c:idx val="7"/>
              <c:layout>
                <c:manualLayout>
                  <c:x val="-4.6296296296296294E-3"/>
                  <c:y val="-9.023234829686442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296D-47C0-9A3D-AF17C09FB66C}"/>
                </c:ext>
              </c:extLst>
            </c:dLbl>
            <c:dLbl>
              <c:idx val="8"/>
              <c:layout>
                <c:manualLayout>
                  <c:x val="-7.2098053352559477E-3"/>
                  <c:y val="-1.28493414712496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768-4FF2-A0B1-4DA3834571B3}"/>
                </c:ext>
              </c:extLst>
            </c:dLbl>
            <c:dLbl>
              <c:idx val="9"/>
              <c:layout>
                <c:manualLayout>
                  <c:x val="-4.6296296296296294E-3"/>
                  <c:y val="-4.511617414843221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296D-47C0-9A3D-AF17C09FB66C}"/>
                </c:ext>
              </c:extLst>
            </c:dLbl>
            <c:dLbl>
              <c:idx val="10"/>
              <c:layout>
                <c:manualLayout>
                  <c:x val="-4.6296296296297144E-3"/>
                  <c:y val="-1.3534852244529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296D-47C0-9A3D-AF17C09FB66C}"/>
                </c:ext>
              </c:extLst>
            </c:dLbl>
            <c:dLbl>
              <c:idx val="11"/>
              <c:layout>
                <c:manualLayout>
                  <c:x val="-6.7675660946131715E-3"/>
                  <c:y val="-1.73607756145804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296D-47C0-9A3D-AF17C09FB66C}"/>
                </c:ext>
              </c:extLst>
            </c:dLbl>
            <c:dLbl>
              <c:idx val="12"/>
              <c:layout>
                <c:manualLayout>
                  <c:x val="-4.6296296296296294E-3"/>
                  <c:y val="-9.02323482968645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296D-47C0-9A3D-AF17C09FB66C}"/>
                </c:ext>
              </c:extLst>
            </c:dLbl>
            <c:dLbl>
              <c:idx val="13"/>
              <c:layout>
                <c:manualLayout>
                  <c:x val="-2.0833333333333332E-2"/>
                  <c:y val="-2.2558087074216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296D-47C0-9A3D-AF17C09FB66C}"/>
                </c:ext>
              </c:extLst>
            </c:dLbl>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rgbClr val="C00000"/>
                    </a:solidFill>
                    <a:latin typeface="Times New Roman" panose="02020603050405020304" pitchFamily="18" charset="0"/>
                    <a:ea typeface="+mn-ea"/>
                    <a:cs typeface="+mn-cs"/>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Лист1!$A$2:$A$12</c:f>
              <c:strCache>
                <c:ptCount val="11"/>
                <c:pt idx="0">
                  <c:v>Activități de cazare și alimentație publică </c:v>
                </c:pt>
                <c:pt idx="1">
                  <c:v>Informații și comunicații</c:v>
                </c:pt>
                <c:pt idx="2">
                  <c:v>Sănătate și asistență socială </c:v>
                </c:pt>
                <c:pt idx="3">
                  <c:v>Învățământ</c:v>
                </c:pt>
                <c:pt idx="4">
                  <c:v>Transport și depozitare</c:v>
                </c:pt>
                <c:pt idx="5">
                  <c:v>Construcții</c:v>
                </c:pt>
                <c:pt idx="6">
                  <c:v>Administrație publică și apărare</c:v>
                </c:pt>
                <c:pt idx="7">
                  <c:v>Agricultură, silvicultură și pescuit </c:v>
                </c:pt>
                <c:pt idx="8">
                  <c:v>Comerț cu ridicata și amănuntul </c:v>
                </c:pt>
                <c:pt idx="9">
                  <c:v>Industrie</c:v>
                </c:pt>
                <c:pt idx="10">
                  <c:v>Alte activități de servicii</c:v>
                </c:pt>
              </c:strCache>
            </c:strRef>
          </c:cat>
          <c:val>
            <c:numRef>
              <c:f>Лист1!$C$2:$C$12</c:f>
              <c:numCache>
                <c:formatCode>0%</c:formatCode>
                <c:ptCount val="11"/>
                <c:pt idx="0">
                  <c:v>0.01</c:v>
                </c:pt>
                <c:pt idx="1">
                  <c:v>0.01</c:v>
                </c:pt>
                <c:pt idx="2">
                  <c:v>0.04</c:v>
                </c:pt>
                <c:pt idx="3">
                  <c:v>0.03</c:v>
                </c:pt>
                <c:pt idx="4">
                  <c:v>0.05</c:v>
                </c:pt>
                <c:pt idx="5">
                  <c:v>0.02</c:v>
                </c:pt>
                <c:pt idx="6">
                  <c:v>0.04</c:v>
                </c:pt>
                <c:pt idx="7">
                  <c:v>0.06</c:v>
                </c:pt>
                <c:pt idx="8">
                  <c:v>0.13</c:v>
                </c:pt>
                <c:pt idx="9">
                  <c:v>0.2</c:v>
                </c:pt>
                <c:pt idx="10">
                  <c:v>0.28000000000000003</c:v>
                </c:pt>
              </c:numCache>
            </c:numRef>
          </c:val>
          <c:extLst>
            <c:ext xmlns:c16="http://schemas.microsoft.com/office/drawing/2014/chart" uri="{C3380CC4-5D6E-409C-BE32-E72D297353CC}">
              <c16:uniqueId val="{0000001A-296D-47C0-9A3D-AF17C09FB66C}"/>
            </c:ext>
          </c:extLst>
        </c:ser>
        <c:dLbls>
          <c:showLegendKey val="0"/>
          <c:showVal val="0"/>
          <c:showCatName val="0"/>
          <c:showSerName val="0"/>
          <c:showPercent val="0"/>
          <c:showBubbleSize val="0"/>
        </c:dLbls>
        <c:gapWidth val="182"/>
        <c:axId val="1012862416"/>
        <c:axId val="1012871984"/>
      </c:barChart>
      <c:catAx>
        <c:axId val="10128624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mn-cs"/>
              </a:defRPr>
            </a:pPr>
            <a:endParaRPr lang="ro-MD"/>
          </a:p>
        </c:txPr>
        <c:crossAx val="1012871984"/>
        <c:crosses val="autoZero"/>
        <c:auto val="1"/>
        <c:lblAlgn val="ctr"/>
        <c:lblOffset val="100"/>
        <c:noMultiLvlLbl val="0"/>
      </c:catAx>
      <c:valAx>
        <c:axId val="1012871984"/>
        <c:scaling>
          <c:orientation val="minMax"/>
          <c:max val="0.4"/>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mn-cs"/>
              </a:defRPr>
            </a:pPr>
            <a:endParaRPr lang="ro-MD"/>
          </a:p>
        </c:txPr>
        <c:crossAx val="1012862416"/>
        <c:crosses val="autoZero"/>
        <c:crossBetween val="between"/>
      </c:valAx>
      <c:spPr>
        <a:noFill/>
        <a:ln>
          <a:noFill/>
        </a:ln>
        <a:effectLst/>
      </c:spPr>
    </c:plotArea>
    <c:legend>
      <c:legendPos val="r"/>
      <c:legendEntry>
        <c:idx val="0"/>
        <c:txPr>
          <a:bodyPr rot="0" spcFirstLastPara="1" vertOverflow="ellipsis" vert="horz" wrap="square" anchor="ctr" anchorCtr="1"/>
          <a:lstStyle/>
          <a:p>
            <a:pPr>
              <a:defRPr sz="700" b="1" i="0" u="none" strike="noStrike" kern="1200" baseline="0">
                <a:solidFill>
                  <a:srgbClr val="C00000"/>
                </a:solidFill>
                <a:latin typeface="Times New Roman" panose="02020603050405020304" pitchFamily="18" charset="0"/>
                <a:ea typeface="+mn-ea"/>
                <a:cs typeface="+mn-cs"/>
              </a:defRPr>
            </a:pPr>
            <a:endParaRPr lang="ro-MD"/>
          </a:p>
        </c:txPr>
      </c:legendEntry>
      <c:legendEntry>
        <c:idx val="1"/>
        <c:txPr>
          <a:bodyPr rot="0" spcFirstLastPara="1" vertOverflow="ellipsis" vert="horz" wrap="square" anchor="ctr" anchorCtr="1"/>
          <a:lstStyle/>
          <a:p>
            <a:pPr>
              <a:defRPr sz="700" b="1" i="0" u="none" strike="noStrike" kern="1200" baseline="0">
                <a:solidFill>
                  <a:schemeClr val="tx2"/>
                </a:solidFill>
                <a:latin typeface="Times New Roman" panose="02020603050405020304" pitchFamily="18" charset="0"/>
                <a:ea typeface="+mn-ea"/>
                <a:cs typeface="+mn-cs"/>
              </a:defRPr>
            </a:pPr>
            <a:endParaRPr lang="ro-MD"/>
          </a:p>
        </c:txPr>
      </c:legendEntry>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o-MD"/>
        </a:p>
      </c:txPr>
    </c:legend>
    <c:plotVisOnly val="1"/>
    <c:dispBlanksAs val="gap"/>
    <c:showDLblsOverMax val="0"/>
  </c:chart>
  <c:spPr>
    <a:noFill/>
    <a:ln w="9525" cap="flat" cmpd="sng" algn="ctr">
      <a:solidFill>
        <a:sysClr val="windowText" lastClr="000000"/>
      </a:solidFill>
      <a:round/>
    </a:ln>
    <a:effectLst/>
  </c:spPr>
  <c:txPr>
    <a:bodyPr/>
    <a:lstStyle/>
    <a:p>
      <a:pPr>
        <a:defRPr/>
      </a:pPr>
      <a:endParaRPr lang="ro-MD"/>
    </a:p>
  </c:txPr>
  <c:externalData r:id="rId4">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Locuri vacante</c:v>
                </c:pt>
              </c:strCache>
            </c:strRef>
          </c:tx>
          <c:spPr>
            <a:solidFill>
              <a:srgbClr val="5B9BD5">
                <a:lumMod val="75000"/>
              </a:srgbClr>
            </a:solidFill>
            <a:ln>
              <a:solidFill>
                <a:srgbClr val="5B9BD5">
                  <a:lumMod val="75000"/>
                </a:srgbClr>
              </a:solidFill>
            </a:ln>
            <a:effectLst/>
          </c:spPr>
          <c:invertIfNegative val="0"/>
          <c:dLbls>
            <c:spPr>
              <a:noFill/>
              <a:ln w="25411">
                <a:noFill/>
              </a:ln>
            </c:spPr>
            <c:txPr>
              <a:bodyPr wrap="square" lIns="38100" tIns="19050" rIns="38100" bIns="19050" anchor="ctr">
                <a:spAutoFit/>
              </a:bodyPr>
              <a:lstStyle/>
              <a:p>
                <a:pPr>
                  <a:defRPr sz="800" b="1" i="0" u="none" strike="noStrike" baseline="0">
                    <a:solidFill>
                      <a:srgbClr val="333399"/>
                    </a:solidFill>
                    <a:latin typeface="Times New Roman"/>
                    <a:ea typeface="Times New Roman"/>
                    <a:cs typeface="Times New Roman"/>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mun. Chișinău</c:v>
                </c:pt>
                <c:pt idx="1">
                  <c:v>Nord</c:v>
                </c:pt>
                <c:pt idx="2">
                  <c:v>Centru</c:v>
                </c:pt>
                <c:pt idx="3">
                  <c:v>Sud</c:v>
                </c:pt>
              </c:strCache>
            </c:strRef>
          </c:cat>
          <c:val>
            <c:numRef>
              <c:f>Лист1!$B$2:$B$5</c:f>
              <c:numCache>
                <c:formatCode>0%</c:formatCode>
                <c:ptCount val="4"/>
                <c:pt idx="0">
                  <c:v>0.36</c:v>
                </c:pt>
                <c:pt idx="1">
                  <c:v>0.24</c:v>
                </c:pt>
                <c:pt idx="2">
                  <c:v>0.22</c:v>
                </c:pt>
                <c:pt idx="3">
                  <c:v>0.18</c:v>
                </c:pt>
              </c:numCache>
            </c:numRef>
          </c:val>
          <c:extLst>
            <c:ext xmlns:c16="http://schemas.microsoft.com/office/drawing/2014/chart" uri="{C3380CC4-5D6E-409C-BE32-E72D297353CC}">
              <c16:uniqueId val="{00000000-10AD-4FD1-BAC0-E0D49A86C6CB}"/>
            </c:ext>
          </c:extLst>
        </c:ser>
        <c:ser>
          <c:idx val="1"/>
          <c:order val="1"/>
          <c:tx>
            <c:strRef>
              <c:f>Лист1!$C$1</c:f>
              <c:strCache>
                <c:ptCount val="1"/>
                <c:pt idx="0">
                  <c:v>Șomeri</c:v>
                </c:pt>
              </c:strCache>
            </c:strRef>
          </c:tx>
          <c:spPr>
            <a:solidFill>
              <a:srgbClr val="C00000"/>
            </a:solidFill>
            <a:ln w="25411">
              <a:noFill/>
            </a:ln>
          </c:spPr>
          <c:invertIfNegative val="0"/>
          <c:dLbls>
            <c:spPr>
              <a:noFill/>
              <a:ln w="25411">
                <a:noFill/>
              </a:ln>
            </c:spPr>
            <c:txPr>
              <a:bodyPr wrap="square" lIns="38100" tIns="19050" rIns="38100" bIns="19050" anchor="ctr">
                <a:spAutoFit/>
              </a:bodyPr>
              <a:lstStyle/>
              <a:p>
                <a:pPr>
                  <a:defRPr sz="800" b="1" i="0" u="none" strike="noStrike" baseline="0">
                    <a:solidFill>
                      <a:srgbClr val="C00000"/>
                    </a:solidFill>
                    <a:latin typeface="Times New Roman"/>
                    <a:ea typeface="Times New Roman"/>
                    <a:cs typeface="Times New Roman"/>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mun. Chișinău</c:v>
                </c:pt>
                <c:pt idx="1">
                  <c:v>Nord</c:v>
                </c:pt>
                <c:pt idx="2">
                  <c:v>Centru</c:v>
                </c:pt>
                <c:pt idx="3">
                  <c:v>Sud</c:v>
                </c:pt>
              </c:strCache>
            </c:strRef>
          </c:cat>
          <c:val>
            <c:numRef>
              <c:f>Лист1!$C$2:$C$5</c:f>
              <c:numCache>
                <c:formatCode>0%</c:formatCode>
                <c:ptCount val="4"/>
                <c:pt idx="0">
                  <c:v>0.11</c:v>
                </c:pt>
                <c:pt idx="1">
                  <c:v>0.37</c:v>
                </c:pt>
                <c:pt idx="2">
                  <c:v>0.28999999999999998</c:v>
                </c:pt>
                <c:pt idx="3">
                  <c:v>0.23</c:v>
                </c:pt>
              </c:numCache>
            </c:numRef>
          </c:val>
          <c:extLst>
            <c:ext xmlns:c16="http://schemas.microsoft.com/office/drawing/2014/chart" uri="{C3380CC4-5D6E-409C-BE32-E72D297353CC}">
              <c16:uniqueId val="{00000001-10AD-4FD1-BAC0-E0D49A86C6CB}"/>
            </c:ext>
          </c:extLst>
        </c:ser>
        <c:dLbls>
          <c:showLegendKey val="0"/>
          <c:showVal val="0"/>
          <c:showCatName val="0"/>
          <c:showSerName val="0"/>
          <c:showPercent val="0"/>
          <c:showBubbleSize val="0"/>
        </c:dLbls>
        <c:gapWidth val="219"/>
        <c:overlap val="-27"/>
        <c:axId val="179627280"/>
        <c:axId val="1"/>
      </c:barChart>
      <c:catAx>
        <c:axId val="179627280"/>
        <c:scaling>
          <c:orientation val="minMax"/>
        </c:scaling>
        <c:delete val="0"/>
        <c:axPos val="b"/>
        <c:numFmt formatCode="General" sourceLinked="1"/>
        <c:majorTickMark val="none"/>
        <c:minorTickMark val="none"/>
        <c:tickLblPos val="nextTo"/>
        <c:spPr>
          <a:noFill/>
          <a:ln w="9529" cap="flat" cmpd="sng" algn="ctr">
            <a:solidFill>
              <a:schemeClr val="tx1">
                <a:lumMod val="15000"/>
                <a:lumOff val="85000"/>
              </a:schemeClr>
            </a:solidFill>
            <a:round/>
          </a:ln>
          <a:effectLst/>
        </c:spPr>
        <c:txPr>
          <a:bodyPr rot="0" vert="horz"/>
          <a:lstStyle/>
          <a:p>
            <a:pPr>
              <a:defRPr sz="800" b="1" i="0" u="none" strike="noStrike" baseline="0">
                <a:solidFill>
                  <a:srgbClr val="333399"/>
                </a:solidFill>
                <a:latin typeface="Times New Roman"/>
                <a:ea typeface="Times New Roman"/>
                <a:cs typeface="Times New Roman"/>
              </a:defRPr>
            </a:pPr>
            <a:endParaRPr lang="ro-MD"/>
          </a:p>
        </c:txPr>
        <c:crossAx val="1"/>
        <c:crosses val="autoZero"/>
        <c:auto val="1"/>
        <c:lblAlgn val="ctr"/>
        <c:lblOffset val="100"/>
        <c:noMultiLvlLbl val="0"/>
      </c:catAx>
      <c:valAx>
        <c:axId val="1"/>
        <c:scaling>
          <c:orientation val="minMax"/>
          <c:max val="0.5"/>
          <c:min val="0"/>
        </c:scaling>
        <c:delete val="0"/>
        <c:axPos val="l"/>
        <c:majorGridlines>
          <c:spPr>
            <a:ln w="9529" cap="flat" cmpd="sng" algn="ctr">
              <a:solidFill>
                <a:schemeClr val="tx1">
                  <a:lumMod val="15000"/>
                  <a:lumOff val="85000"/>
                </a:schemeClr>
              </a:solidFill>
              <a:round/>
            </a:ln>
            <a:effectLst/>
          </c:spPr>
        </c:majorGridlines>
        <c:numFmt formatCode="0%" sourceLinked="1"/>
        <c:majorTickMark val="none"/>
        <c:minorTickMark val="none"/>
        <c:tickLblPos val="nextTo"/>
        <c:spPr>
          <a:ln w="6353">
            <a:noFill/>
          </a:ln>
        </c:spPr>
        <c:txPr>
          <a:bodyPr rot="0" vert="horz"/>
          <a:lstStyle/>
          <a:p>
            <a:pPr>
              <a:defRPr sz="800" b="1" i="0" u="none" strike="noStrike" baseline="0">
                <a:solidFill>
                  <a:srgbClr val="333399"/>
                </a:solidFill>
                <a:latin typeface="Times New Roman"/>
                <a:ea typeface="Times New Roman"/>
                <a:cs typeface="Times New Roman"/>
              </a:defRPr>
            </a:pPr>
            <a:endParaRPr lang="ro-MD"/>
          </a:p>
        </c:txPr>
        <c:crossAx val="179627280"/>
        <c:crosses val="autoZero"/>
        <c:crossBetween val="between"/>
      </c:valAx>
      <c:spPr>
        <a:noFill/>
        <a:ln w="25411">
          <a:noFill/>
        </a:ln>
      </c:spPr>
    </c:plotArea>
    <c:legend>
      <c:legendPos val="b"/>
      <c:legendEntry>
        <c:idx val="0"/>
        <c:txPr>
          <a:bodyPr/>
          <a:lstStyle/>
          <a:p>
            <a:pPr>
              <a:defRPr sz="620" b="1" i="0" u="none" strike="noStrike" baseline="0">
                <a:solidFill>
                  <a:srgbClr val="003366"/>
                </a:solidFill>
                <a:latin typeface="Times New Roman"/>
                <a:ea typeface="Times New Roman"/>
                <a:cs typeface="Times New Roman"/>
              </a:defRPr>
            </a:pPr>
            <a:endParaRPr lang="ro-MD"/>
          </a:p>
        </c:txPr>
      </c:legendEntry>
      <c:legendEntry>
        <c:idx val="1"/>
        <c:txPr>
          <a:bodyPr/>
          <a:lstStyle/>
          <a:p>
            <a:pPr>
              <a:defRPr sz="620" b="1" i="0" u="none" strike="noStrike" baseline="0">
                <a:solidFill>
                  <a:srgbClr val="C00000"/>
                </a:solidFill>
                <a:latin typeface="Times New Roman"/>
                <a:ea typeface="Times New Roman"/>
                <a:cs typeface="Times New Roman"/>
              </a:defRPr>
            </a:pPr>
            <a:endParaRPr lang="ro-MD"/>
          </a:p>
        </c:txPr>
      </c:legendEntry>
      <c:overlay val="0"/>
      <c:spPr>
        <a:noFill/>
        <a:ln w="25411">
          <a:noFill/>
        </a:ln>
      </c:spPr>
      <c:txPr>
        <a:bodyPr/>
        <a:lstStyle/>
        <a:p>
          <a:pPr>
            <a:defRPr sz="620" b="1" i="0" u="none" strike="noStrike" baseline="0">
              <a:solidFill>
                <a:srgbClr val="003366"/>
              </a:solidFill>
              <a:latin typeface="Times New Roman"/>
              <a:ea typeface="Times New Roman"/>
              <a:cs typeface="Times New Roman"/>
            </a:defRPr>
          </a:pPr>
          <a:endParaRPr lang="ro-MD"/>
        </a:p>
      </c:txPr>
    </c:legend>
    <c:plotVisOnly val="1"/>
    <c:dispBlanksAs val="gap"/>
    <c:showDLblsOverMax val="0"/>
  </c:chart>
  <c:spPr>
    <a:solidFill>
      <a:schemeClr val="bg1"/>
    </a:solidFill>
    <a:ln w="9529" cap="flat" cmpd="sng" algn="ctr">
      <a:solidFill>
        <a:sysClr val="windowText" lastClr="000000"/>
      </a:solidFill>
      <a:round/>
    </a:ln>
    <a:effectLst/>
  </c:spPr>
  <c:txPr>
    <a:bodyPr/>
    <a:lstStyle/>
    <a:p>
      <a:pPr>
        <a:defRPr sz="800" b="1" i="0" u="none" strike="noStrike" baseline="0">
          <a:solidFill>
            <a:srgbClr val="000000"/>
          </a:solidFill>
          <a:latin typeface="Times New Roman"/>
          <a:ea typeface="Times New Roman"/>
          <a:cs typeface="Times New Roman"/>
        </a:defRPr>
      </a:pPr>
      <a:endParaRPr lang="ro-MD"/>
    </a:p>
  </c:txPr>
  <c:externalData r:id="rId2">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5724573311140057E-2"/>
          <c:y val="0.15214018059063372"/>
          <c:w val="0.82391398090572743"/>
          <c:h val="0.70493020133489614"/>
        </c:manualLayout>
      </c:layout>
      <c:barChart>
        <c:barDir val="col"/>
        <c:grouping val="clustered"/>
        <c:varyColors val="0"/>
        <c:ser>
          <c:idx val="0"/>
          <c:order val="0"/>
          <c:tx>
            <c:strRef>
              <c:f>Лист1!$B$1</c:f>
              <c:strCache>
                <c:ptCount val="1"/>
                <c:pt idx="0">
                  <c:v>2022</c:v>
                </c:pt>
              </c:strCache>
            </c:strRef>
          </c:tx>
          <c:spPr>
            <a:solidFill>
              <a:schemeClr val="accent1"/>
            </a:solidFill>
            <a:ln>
              <a:noFill/>
            </a:ln>
            <a:effectLst/>
          </c:spPr>
          <c:invertIfNegative val="0"/>
          <c:dLbls>
            <c:dLbl>
              <c:idx val="0"/>
              <c:layout>
                <c:manualLayout>
                  <c:x val="0"/>
                  <c:y val="1.80995475113122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FD2-4F64-9E64-CE0997913E9E}"/>
                </c:ext>
              </c:extLst>
            </c:dLbl>
            <c:dLbl>
              <c:idx val="1"/>
              <c:layout>
                <c:manualLayout>
                  <c:x val="2.7382256297918445E-3"/>
                  <c:y val="1.20663650075414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6DD-4676-8651-E5A8369691C9}"/>
                </c:ext>
              </c:extLst>
            </c:dLbl>
            <c:dLbl>
              <c:idx val="2"/>
              <c:layout>
                <c:manualLayout>
                  <c:x val="-5.0200223295588143E-17"/>
                  <c:y val="2.09643605870020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6DD-4676-8651-E5A8369691C9}"/>
                </c:ext>
              </c:extLst>
            </c:dLbl>
            <c:dLbl>
              <c:idx val="3"/>
              <c:layout>
                <c:manualLayout>
                  <c:x val="1.0040044659117629E-16"/>
                  <c:y val="2.69977791237633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6DD-4676-8651-E5A8369691C9}"/>
                </c:ext>
              </c:extLst>
            </c:dLbl>
            <c:dLbl>
              <c:idx val="4"/>
              <c:layout>
                <c:manualLayout>
                  <c:x val="1.0040044659117629E-16"/>
                  <c:y val="2.79524807826694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6DD-4676-8651-E5A8369691C9}"/>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2"/>
                    </a:solidFill>
                    <a:latin typeface="Times New Roman" panose="02020603050405020304" pitchFamily="18" charset="0"/>
                    <a:ea typeface="+mn-ea"/>
                    <a:cs typeface="+mn-cs"/>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mun. Chișinău</c:v>
                </c:pt>
                <c:pt idx="1">
                  <c:v>Nord</c:v>
                </c:pt>
                <c:pt idx="2">
                  <c:v>Centru</c:v>
                </c:pt>
                <c:pt idx="3">
                  <c:v>Sud</c:v>
                </c:pt>
              </c:strCache>
            </c:strRef>
          </c:cat>
          <c:val>
            <c:numRef>
              <c:f>Лист1!$B$2:$B$5</c:f>
              <c:numCache>
                <c:formatCode>0%</c:formatCode>
                <c:ptCount val="4"/>
                <c:pt idx="0">
                  <c:v>0.41</c:v>
                </c:pt>
                <c:pt idx="1">
                  <c:v>0.2</c:v>
                </c:pt>
                <c:pt idx="2">
                  <c:v>0.24</c:v>
                </c:pt>
                <c:pt idx="3">
                  <c:v>0.15</c:v>
                </c:pt>
              </c:numCache>
            </c:numRef>
          </c:val>
          <c:extLst>
            <c:ext xmlns:c16="http://schemas.microsoft.com/office/drawing/2014/chart" uri="{C3380CC4-5D6E-409C-BE32-E72D297353CC}">
              <c16:uniqueId val="{00000004-F6DD-4676-8651-E5A8369691C9}"/>
            </c:ext>
          </c:extLst>
        </c:ser>
        <c:ser>
          <c:idx val="1"/>
          <c:order val="1"/>
          <c:tx>
            <c:strRef>
              <c:f>Лист1!$C$1</c:f>
              <c:strCache>
                <c:ptCount val="1"/>
                <c:pt idx="0">
                  <c:v>2023</c:v>
                </c:pt>
              </c:strCache>
            </c:strRef>
          </c:tx>
          <c:spPr>
            <a:solidFill>
              <a:schemeClr val="accent2"/>
            </a:solidFill>
            <a:ln>
              <a:noFill/>
            </a:ln>
            <a:effectLst/>
          </c:spPr>
          <c:invertIfNegative val="0"/>
          <c:dLbls>
            <c:dLbl>
              <c:idx val="0"/>
              <c:layout>
                <c:manualLayout>
                  <c:x val="5.4764512595837896E-3"/>
                  <c:y val="2.4132730015082957E-2"/>
                </c:manualLayout>
              </c:layout>
              <c:tx>
                <c:rich>
                  <a:bodyPr/>
                  <a:lstStyle/>
                  <a:p>
                    <a:fld id="{BD50398B-4FE3-4023-8C37-FCA443330574}" type="VALUE">
                      <a:rPr lang="en-US"/>
                      <a:pPr/>
                      <a:t>[VALUE]</a:t>
                    </a:fld>
                    <a:endParaRPr lang="ro-MD"/>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F6DD-4676-8651-E5A8369691C9}"/>
                </c:ext>
              </c:extLst>
            </c:dLbl>
            <c:dLbl>
              <c:idx val="1"/>
              <c:layout>
                <c:manualLayout>
                  <c:x val="2.7382256297917946E-3"/>
                  <c:y val="7.9428985403973279E-3"/>
                </c:manualLayout>
              </c:layout>
              <c:tx>
                <c:rich>
                  <a:bodyPr/>
                  <a:lstStyle/>
                  <a:p>
                    <a:fld id="{376DF624-F78D-4118-8B75-F6D1CE54F157}" type="VALUE">
                      <a:rPr lang="en-US"/>
                      <a:pPr/>
                      <a:t>[VALUE]</a:t>
                    </a:fld>
                    <a:endParaRPr lang="ro-MD"/>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F6DD-4676-8651-E5A8369691C9}"/>
                </c:ext>
              </c:extLst>
            </c:dLbl>
            <c:dLbl>
              <c:idx val="2"/>
              <c:layout>
                <c:manualLayout>
                  <c:x val="8.2146768893755842E-3"/>
                  <c:y val="2.2874312656619281E-2"/>
                </c:manualLayout>
              </c:layout>
              <c:tx>
                <c:rich>
                  <a:bodyPr/>
                  <a:lstStyle/>
                  <a:p>
                    <a:fld id="{6B451795-C6FC-4767-884C-6F3DACAECF89}" type="VALUE">
                      <a:rPr lang="en-US"/>
                      <a:pPr/>
                      <a:t>[VALUE]</a:t>
                    </a:fld>
                    <a:endParaRPr lang="ro-MD"/>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F6DD-4676-8651-E5A8369691C9}"/>
                </c:ext>
              </c:extLst>
            </c:dLbl>
            <c:dLbl>
              <c:idx val="3"/>
              <c:layout>
                <c:manualLayout>
                  <c:x val="2.7382256297918948E-3"/>
                  <c:y val="2.2874312656619281E-2"/>
                </c:manualLayout>
              </c:layout>
              <c:tx>
                <c:rich>
                  <a:bodyPr/>
                  <a:lstStyle/>
                  <a:p>
                    <a:fld id="{141B1988-A105-4E0E-B50A-030E1783470F}" type="VALUE">
                      <a:rPr lang="en-US"/>
                      <a:pPr/>
                      <a:t>[VALUE]</a:t>
                    </a:fld>
                    <a:endParaRPr lang="ro-MD"/>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F6DD-4676-8651-E5A8369691C9}"/>
                </c:ext>
              </c:extLst>
            </c:dLbl>
            <c:dLbl>
              <c:idx val="4"/>
              <c:layout>
                <c:manualLayout>
                  <c:x val="1.3691128148959375E-2"/>
                  <c:y val="1.3976240391334731E-2"/>
                </c:manualLayout>
              </c:layout>
              <c:tx>
                <c:rich>
                  <a:bodyPr/>
                  <a:lstStyle/>
                  <a:p>
                    <a:fld id="{1E9B4EF5-1ED7-45F3-8A6D-B7CE2B5BC303}" type="VALUE">
                      <a:rPr lang="en-US"/>
                      <a:pPr/>
                      <a:t>[VALUE]</a:t>
                    </a:fld>
                    <a:r>
                      <a:rPr lang="en-US"/>
                      <a:t> </a:t>
                    </a:r>
                    <a:r>
                      <a:rPr lang="en-US">
                        <a:solidFill>
                          <a:sysClr val="windowText" lastClr="000000"/>
                        </a:solidFill>
                      </a:rPr>
                      <a:t>(27%)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F6DD-4676-8651-E5A8369691C9}"/>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rgbClr val="C00000"/>
                    </a:solidFill>
                    <a:latin typeface="Times New Roman" panose="02020603050405020304" pitchFamily="18" charset="0"/>
                    <a:ea typeface="+mn-ea"/>
                    <a:cs typeface="+mn-cs"/>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mun. Chișinău</c:v>
                </c:pt>
                <c:pt idx="1">
                  <c:v>Nord</c:v>
                </c:pt>
                <c:pt idx="2">
                  <c:v>Centru</c:v>
                </c:pt>
                <c:pt idx="3">
                  <c:v>Sud</c:v>
                </c:pt>
              </c:strCache>
            </c:strRef>
          </c:cat>
          <c:val>
            <c:numRef>
              <c:f>Лист1!$C$2:$C$5</c:f>
              <c:numCache>
                <c:formatCode>0%</c:formatCode>
                <c:ptCount val="4"/>
                <c:pt idx="0">
                  <c:v>0.36</c:v>
                </c:pt>
                <c:pt idx="1">
                  <c:v>0.24</c:v>
                </c:pt>
                <c:pt idx="2">
                  <c:v>0.22</c:v>
                </c:pt>
                <c:pt idx="3">
                  <c:v>0.18</c:v>
                </c:pt>
              </c:numCache>
            </c:numRef>
          </c:val>
          <c:extLst>
            <c:ext xmlns:c16="http://schemas.microsoft.com/office/drawing/2014/chart" uri="{C3380CC4-5D6E-409C-BE32-E72D297353CC}">
              <c16:uniqueId val="{0000000A-F6DD-4676-8651-E5A8369691C9}"/>
            </c:ext>
          </c:extLst>
        </c:ser>
        <c:dLbls>
          <c:showLegendKey val="0"/>
          <c:showVal val="0"/>
          <c:showCatName val="0"/>
          <c:showSerName val="0"/>
          <c:showPercent val="0"/>
          <c:showBubbleSize val="0"/>
        </c:dLbls>
        <c:gapWidth val="219"/>
        <c:overlap val="-27"/>
        <c:axId val="2075157807"/>
        <c:axId val="2075148655"/>
      </c:barChart>
      <c:catAx>
        <c:axId val="20751578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ro-MD"/>
          </a:p>
        </c:txPr>
        <c:crossAx val="2075148655"/>
        <c:crosses val="autoZero"/>
        <c:auto val="1"/>
        <c:lblAlgn val="ctr"/>
        <c:lblOffset val="100"/>
        <c:noMultiLvlLbl val="0"/>
      </c:catAx>
      <c:valAx>
        <c:axId val="2075148655"/>
        <c:scaling>
          <c:orientation val="minMax"/>
          <c:max val="0.5"/>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ro-MD"/>
          </a:p>
        </c:txPr>
        <c:crossAx val="2075157807"/>
        <c:crosses val="autoZero"/>
        <c:crossBetween val="between"/>
      </c:valAx>
      <c:spPr>
        <a:noFill/>
        <a:ln>
          <a:noFill/>
        </a:ln>
        <a:effectLst/>
      </c:spPr>
    </c:plotArea>
    <c:legend>
      <c:legendPos val="t"/>
      <c:legendEntry>
        <c:idx val="1"/>
        <c:txPr>
          <a:bodyPr rot="0" spcFirstLastPara="1" vertOverflow="ellipsis" vert="horz" wrap="square" anchor="ctr" anchorCtr="1"/>
          <a:lstStyle/>
          <a:p>
            <a:pPr>
              <a:defRPr sz="800" b="1" i="0" u="none" strike="noStrike" kern="1200" baseline="0">
                <a:solidFill>
                  <a:srgbClr val="C00000"/>
                </a:solidFill>
                <a:latin typeface="Times New Roman" panose="02020603050405020304" pitchFamily="18" charset="0"/>
                <a:ea typeface="+mn-ea"/>
                <a:cs typeface="+mn-cs"/>
              </a:defRPr>
            </a:pPr>
            <a:endParaRPr lang="ro-MD"/>
          </a:p>
        </c:txPr>
      </c:legendEntry>
      <c:layout>
        <c:manualLayout>
          <c:xMode val="edge"/>
          <c:yMode val="edge"/>
          <c:x val="0.30074277065312066"/>
          <c:y val="4.5153858030189519E-3"/>
          <c:w val="0.51351971953670073"/>
          <c:h val="0.1589130770418403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mn-cs"/>
            </a:defRPr>
          </a:pPr>
          <a:endParaRPr lang="ro-MD"/>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ro-MD"/>
    </a:p>
  </c:txPr>
  <c:externalData r:id="rId4">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stacked"/>
        <c:varyColors val="0"/>
        <c:ser>
          <c:idx val="0"/>
          <c:order val="0"/>
          <c:tx>
            <c:strRef>
              <c:f>Лист1!$B$1</c:f>
              <c:strCache>
                <c:ptCount val="1"/>
                <c:pt idx="0">
                  <c:v>2022</c:v>
                </c:pt>
              </c:strCache>
            </c:strRef>
          </c:tx>
          <c:invertIfNegative val="0"/>
          <c:dLbls>
            <c:spPr>
              <a:noFill/>
              <a:ln>
                <a:noFill/>
              </a:ln>
              <a:effectLst/>
            </c:spPr>
            <c:txPr>
              <a:bodyPr/>
              <a:lstStyle/>
              <a:p>
                <a:pPr>
                  <a:defRPr sz="600" b="1" i="0" baseline="0">
                    <a:solidFill>
                      <a:schemeClr val="bg1"/>
                    </a:solidFill>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Negociabil</c:v>
                </c:pt>
                <c:pt idx="1">
                  <c:v>&lt;3000 lei</c:v>
                </c:pt>
                <c:pt idx="2">
                  <c:v>3001-5000 lei</c:v>
                </c:pt>
                <c:pt idx="3">
                  <c:v>&gt;5000 lei</c:v>
                </c:pt>
              </c:strCache>
            </c:strRef>
          </c:cat>
          <c:val>
            <c:numRef>
              <c:f>Лист1!$B$2:$B$5</c:f>
              <c:numCache>
                <c:formatCode>0%</c:formatCode>
                <c:ptCount val="4"/>
                <c:pt idx="0">
                  <c:v>0.34</c:v>
                </c:pt>
                <c:pt idx="1">
                  <c:v>0.02</c:v>
                </c:pt>
                <c:pt idx="2">
                  <c:v>0.24</c:v>
                </c:pt>
                <c:pt idx="3">
                  <c:v>0.4</c:v>
                </c:pt>
              </c:numCache>
            </c:numRef>
          </c:val>
          <c:extLst>
            <c:ext xmlns:c16="http://schemas.microsoft.com/office/drawing/2014/chart" uri="{C3380CC4-5D6E-409C-BE32-E72D297353CC}">
              <c16:uniqueId val="{00000000-ACAB-4510-8E1A-1A9DFE0B9723}"/>
            </c:ext>
          </c:extLst>
        </c:ser>
        <c:ser>
          <c:idx val="1"/>
          <c:order val="1"/>
          <c:tx>
            <c:strRef>
              <c:f>Лист1!$C$1</c:f>
              <c:strCache>
                <c:ptCount val="1"/>
                <c:pt idx="0">
                  <c:v>2023</c:v>
                </c:pt>
              </c:strCache>
            </c:strRef>
          </c:tx>
          <c:invertIfNegative val="0"/>
          <c:dLbls>
            <c:dLbl>
              <c:idx val="1"/>
              <c:layout>
                <c:manualLayout>
                  <c:x val="3.3195020746887967E-2"/>
                  <c:y val="0"/>
                </c:manualLayout>
              </c:layout>
              <c:spPr>
                <a:noFill/>
                <a:ln>
                  <a:noFill/>
                </a:ln>
                <a:effectLst/>
              </c:spPr>
              <c:txPr>
                <a:bodyPr/>
                <a:lstStyle/>
                <a:p>
                  <a:pPr>
                    <a:defRPr sz="600" b="1" i="0" baseline="0">
                      <a:solidFill>
                        <a:srgbClr val="C00000"/>
                      </a:solidFill>
                    </a:defRPr>
                  </a:pPr>
                  <a:endParaRPr lang="ro-MD"/>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728-41F1-9F28-0A92C300AC66}"/>
                </c:ext>
              </c:extLst>
            </c:dLbl>
            <c:spPr>
              <a:noFill/>
              <a:ln>
                <a:noFill/>
              </a:ln>
              <a:effectLst/>
            </c:spPr>
            <c:txPr>
              <a:bodyPr/>
              <a:lstStyle/>
              <a:p>
                <a:pPr>
                  <a:defRPr sz="600" b="1" i="0" baseline="0">
                    <a:solidFill>
                      <a:schemeClr val="bg1"/>
                    </a:solidFill>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Negociabil</c:v>
                </c:pt>
                <c:pt idx="1">
                  <c:v>&lt;3000 lei</c:v>
                </c:pt>
                <c:pt idx="2">
                  <c:v>3001-5000 lei</c:v>
                </c:pt>
                <c:pt idx="3">
                  <c:v>&gt;5000 lei</c:v>
                </c:pt>
              </c:strCache>
            </c:strRef>
          </c:cat>
          <c:val>
            <c:numRef>
              <c:f>Лист1!$C$2:$C$5</c:f>
              <c:numCache>
                <c:formatCode>0%</c:formatCode>
                <c:ptCount val="4"/>
                <c:pt idx="0">
                  <c:v>0.38</c:v>
                </c:pt>
                <c:pt idx="1">
                  <c:v>0.01</c:v>
                </c:pt>
                <c:pt idx="2">
                  <c:v>0.14000000000000001</c:v>
                </c:pt>
                <c:pt idx="3">
                  <c:v>0.47</c:v>
                </c:pt>
              </c:numCache>
            </c:numRef>
          </c:val>
          <c:extLst>
            <c:ext xmlns:c16="http://schemas.microsoft.com/office/drawing/2014/chart" uri="{C3380CC4-5D6E-409C-BE32-E72D297353CC}">
              <c16:uniqueId val="{00000001-ACAB-4510-8E1A-1A9DFE0B9723}"/>
            </c:ext>
          </c:extLst>
        </c:ser>
        <c:dLbls>
          <c:showLegendKey val="0"/>
          <c:showVal val="0"/>
          <c:showCatName val="0"/>
          <c:showSerName val="0"/>
          <c:showPercent val="0"/>
          <c:showBubbleSize val="0"/>
        </c:dLbls>
        <c:gapWidth val="150"/>
        <c:overlap val="100"/>
        <c:axId val="82868096"/>
        <c:axId val="82869632"/>
      </c:barChart>
      <c:catAx>
        <c:axId val="82868096"/>
        <c:scaling>
          <c:orientation val="minMax"/>
        </c:scaling>
        <c:delete val="0"/>
        <c:axPos val="l"/>
        <c:numFmt formatCode="General" sourceLinked="0"/>
        <c:majorTickMark val="out"/>
        <c:minorTickMark val="none"/>
        <c:tickLblPos val="nextTo"/>
        <c:txPr>
          <a:bodyPr/>
          <a:lstStyle/>
          <a:p>
            <a:pPr>
              <a:defRPr sz="700" b="1" i="0" baseline="0"/>
            </a:pPr>
            <a:endParaRPr lang="ro-MD"/>
          </a:p>
        </c:txPr>
        <c:crossAx val="82869632"/>
        <c:crosses val="autoZero"/>
        <c:auto val="1"/>
        <c:lblAlgn val="ctr"/>
        <c:lblOffset val="100"/>
        <c:noMultiLvlLbl val="0"/>
      </c:catAx>
      <c:valAx>
        <c:axId val="82869632"/>
        <c:scaling>
          <c:orientation val="minMax"/>
        </c:scaling>
        <c:delete val="0"/>
        <c:axPos val="b"/>
        <c:majorGridlines/>
        <c:numFmt formatCode="0%" sourceLinked="1"/>
        <c:majorTickMark val="out"/>
        <c:minorTickMark val="none"/>
        <c:tickLblPos val="nextTo"/>
        <c:txPr>
          <a:bodyPr/>
          <a:lstStyle/>
          <a:p>
            <a:pPr>
              <a:defRPr sz="800" b="1" i="0" baseline="0"/>
            </a:pPr>
            <a:endParaRPr lang="ro-MD"/>
          </a:p>
        </c:txPr>
        <c:crossAx val="82868096"/>
        <c:crosses val="autoZero"/>
        <c:crossBetween val="between"/>
      </c:valAx>
    </c:plotArea>
    <c:legend>
      <c:legendPos val="b"/>
      <c:legendEntry>
        <c:idx val="0"/>
        <c:txPr>
          <a:bodyPr/>
          <a:lstStyle/>
          <a:p>
            <a:pPr>
              <a:defRPr sz="600" b="1" i="0" baseline="0">
                <a:solidFill>
                  <a:schemeClr val="tx2">
                    <a:lumMod val="50000"/>
                  </a:schemeClr>
                </a:solidFill>
              </a:defRPr>
            </a:pPr>
            <a:endParaRPr lang="ro-MD"/>
          </a:p>
        </c:txPr>
      </c:legendEntry>
      <c:legendEntry>
        <c:idx val="1"/>
        <c:txPr>
          <a:bodyPr/>
          <a:lstStyle/>
          <a:p>
            <a:pPr>
              <a:defRPr sz="600" b="1" i="0" baseline="0">
                <a:solidFill>
                  <a:srgbClr val="C00000"/>
                </a:solidFill>
              </a:defRPr>
            </a:pPr>
            <a:endParaRPr lang="ro-MD"/>
          </a:p>
        </c:txPr>
      </c:legendEntry>
      <c:overlay val="0"/>
      <c:txPr>
        <a:bodyPr/>
        <a:lstStyle/>
        <a:p>
          <a:pPr>
            <a:defRPr sz="600" baseline="0"/>
          </a:pPr>
          <a:endParaRPr lang="ro-MD"/>
        </a:p>
      </c:txPr>
    </c:legend>
    <c:plotVisOnly val="1"/>
    <c:dispBlanksAs val="gap"/>
    <c:showDLblsOverMax val="0"/>
  </c:chart>
  <c:txPr>
    <a:bodyPr/>
    <a:lstStyle/>
    <a:p>
      <a:pPr>
        <a:defRPr baseline="0">
          <a:latin typeface="Times New Roman" pitchFamily="18" charset="0"/>
        </a:defRPr>
      </a:pPr>
      <a:endParaRPr lang="ro-MD"/>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3270778652668405E-2"/>
          <c:y val="2.678969374111255E-2"/>
          <c:w val="0.87172922134733188"/>
          <c:h val="0.79475844227605563"/>
        </c:manualLayout>
      </c:layout>
      <c:barChart>
        <c:barDir val="bar"/>
        <c:grouping val="clustered"/>
        <c:varyColors val="0"/>
        <c:ser>
          <c:idx val="2"/>
          <c:order val="0"/>
          <c:tx>
            <c:strRef>
              <c:f>'[Grafice_PRO_01_01_23_nivel_tara(1).xlsx]Figura 4'!$C$4</c:f>
              <c:strCache>
                <c:ptCount val="1"/>
                <c:pt idx="0">
                  <c:v>feminin</c:v>
                </c:pt>
              </c:strCache>
            </c:strRef>
          </c:tx>
          <c:spPr>
            <a:noFill/>
            <a:ln w="25400" cap="flat" cmpd="sng" algn="ctr">
              <a:solidFill>
                <a:schemeClr val="accent1">
                  <a:tint val="77000"/>
                </a:schemeClr>
              </a:solidFill>
              <a:miter lim="800000"/>
            </a:ln>
            <a:effectLst/>
          </c:spPr>
          <c:invertIfNegative val="0"/>
          <c:cat>
            <c:strRef>
              <c:f>'[Grafice_PRO_01_01_23_nivel_tara(1).xlsx]Figura 4'!$A$5:$A$90</c:f>
              <c:strCache>
                <c:ptCount val="8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strCache>
            </c:strRef>
          </c:cat>
          <c:val>
            <c:numRef>
              <c:f>'[Grafice_PRO_01_01_23_nivel_tara(1).xlsx]Figura 4'!$C$5:$C$90</c:f>
              <c:numCache>
                <c:formatCode>0</c:formatCode>
                <c:ptCount val="86"/>
                <c:pt idx="0">
                  <c:v>12229</c:v>
                </c:pt>
                <c:pt idx="1">
                  <c:v>12338</c:v>
                </c:pt>
                <c:pt idx="2">
                  <c:v>12680</c:v>
                </c:pt>
                <c:pt idx="3">
                  <c:v>13656</c:v>
                </c:pt>
                <c:pt idx="4">
                  <c:v>14126</c:v>
                </c:pt>
                <c:pt idx="5">
                  <c:v>14931</c:v>
                </c:pt>
                <c:pt idx="6">
                  <c:v>16264</c:v>
                </c:pt>
                <c:pt idx="7">
                  <c:v>16467</c:v>
                </c:pt>
                <c:pt idx="8">
                  <c:v>16526</c:v>
                </c:pt>
                <c:pt idx="9">
                  <c:v>15384</c:v>
                </c:pt>
                <c:pt idx="10">
                  <c:v>15070</c:v>
                </c:pt>
                <c:pt idx="11">
                  <c:v>14794</c:v>
                </c:pt>
                <c:pt idx="12">
                  <c:v>15308</c:v>
                </c:pt>
                <c:pt idx="13">
                  <c:v>15333</c:v>
                </c:pt>
                <c:pt idx="14">
                  <c:v>14911</c:v>
                </c:pt>
                <c:pt idx="15">
                  <c:v>14546</c:v>
                </c:pt>
                <c:pt idx="16">
                  <c:v>13443</c:v>
                </c:pt>
                <c:pt idx="17">
                  <c:v>13451</c:v>
                </c:pt>
                <c:pt idx="18">
                  <c:v>13088</c:v>
                </c:pt>
                <c:pt idx="19">
                  <c:v>11464</c:v>
                </c:pt>
                <c:pt idx="20">
                  <c:v>11125</c:v>
                </c:pt>
                <c:pt idx="21">
                  <c:v>10788</c:v>
                </c:pt>
                <c:pt idx="22">
                  <c:v>11467</c:v>
                </c:pt>
                <c:pt idx="23">
                  <c:v>11191</c:v>
                </c:pt>
                <c:pt idx="24">
                  <c:v>11639</c:v>
                </c:pt>
                <c:pt idx="25">
                  <c:v>12507</c:v>
                </c:pt>
                <c:pt idx="26">
                  <c:v>13911</c:v>
                </c:pt>
                <c:pt idx="27">
                  <c:v>14540</c:v>
                </c:pt>
                <c:pt idx="28">
                  <c:v>16328</c:v>
                </c:pt>
                <c:pt idx="29">
                  <c:v>17280</c:v>
                </c:pt>
                <c:pt idx="30">
                  <c:v>18399</c:v>
                </c:pt>
                <c:pt idx="31">
                  <c:v>18020</c:v>
                </c:pt>
                <c:pt idx="32">
                  <c:v>19263</c:v>
                </c:pt>
                <c:pt idx="33">
                  <c:v>19918</c:v>
                </c:pt>
                <c:pt idx="34">
                  <c:v>20928</c:v>
                </c:pt>
                <c:pt idx="35">
                  <c:v>21142</c:v>
                </c:pt>
                <c:pt idx="36">
                  <c:v>21814</c:v>
                </c:pt>
                <c:pt idx="37">
                  <c:v>20855</c:v>
                </c:pt>
                <c:pt idx="38">
                  <c:v>20085</c:v>
                </c:pt>
                <c:pt idx="39">
                  <c:v>20326</c:v>
                </c:pt>
                <c:pt idx="40">
                  <c:v>18908</c:v>
                </c:pt>
                <c:pt idx="41">
                  <c:v>18167</c:v>
                </c:pt>
                <c:pt idx="42">
                  <c:v>18520</c:v>
                </c:pt>
                <c:pt idx="43">
                  <c:v>17772</c:v>
                </c:pt>
                <c:pt idx="44">
                  <c:v>17644</c:v>
                </c:pt>
                <c:pt idx="45">
                  <c:v>16310</c:v>
                </c:pt>
                <c:pt idx="46">
                  <c:v>16984</c:v>
                </c:pt>
                <c:pt idx="47">
                  <c:v>17379</c:v>
                </c:pt>
                <c:pt idx="48">
                  <c:v>17136</c:v>
                </c:pt>
                <c:pt idx="49">
                  <c:v>17061</c:v>
                </c:pt>
                <c:pt idx="50">
                  <c:v>17502</c:v>
                </c:pt>
                <c:pt idx="51">
                  <c:v>16517</c:v>
                </c:pt>
                <c:pt idx="52">
                  <c:v>16266</c:v>
                </c:pt>
                <c:pt idx="53">
                  <c:v>15759</c:v>
                </c:pt>
                <c:pt idx="54">
                  <c:v>16922</c:v>
                </c:pt>
                <c:pt idx="55">
                  <c:v>16988</c:v>
                </c:pt>
                <c:pt idx="56">
                  <c:v>16969</c:v>
                </c:pt>
                <c:pt idx="57">
                  <c:v>17027</c:v>
                </c:pt>
                <c:pt idx="58">
                  <c:v>18325</c:v>
                </c:pt>
                <c:pt idx="59">
                  <c:v>19807</c:v>
                </c:pt>
                <c:pt idx="60">
                  <c:v>20380</c:v>
                </c:pt>
                <c:pt idx="61">
                  <c:v>21323</c:v>
                </c:pt>
                <c:pt idx="62">
                  <c:v>22456</c:v>
                </c:pt>
                <c:pt idx="63">
                  <c:v>22700</c:v>
                </c:pt>
                <c:pt idx="64">
                  <c:v>21554</c:v>
                </c:pt>
                <c:pt idx="65">
                  <c:v>20793</c:v>
                </c:pt>
                <c:pt idx="66">
                  <c:v>20016</c:v>
                </c:pt>
                <c:pt idx="67">
                  <c:v>18693</c:v>
                </c:pt>
                <c:pt idx="68">
                  <c:v>19222</c:v>
                </c:pt>
                <c:pt idx="69">
                  <c:v>17265</c:v>
                </c:pt>
                <c:pt idx="70">
                  <c:v>17114</c:v>
                </c:pt>
                <c:pt idx="71">
                  <c:v>17580</c:v>
                </c:pt>
                <c:pt idx="72">
                  <c:v>17363</c:v>
                </c:pt>
                <c:pt idx="73">
                  <c:v>16989</c:v>
                </c:pt>
                <c:pt idx="74">
                  <c:v>12769</c:v>
                </c:pt>
                <c:pt idx="75">
                  <c:v>8041</c:v>
                </c:pt>
                <c:pt idx="76">
                  <c:v>7280</c:v>
                </c:pt>
                <c:pt idx="77">
                  <c:v>4628</c:v>
                </c:pt>
                <c:pt idx="78">
                  <c:v>5626</c:v>
                </c:pt>
                <c:pt idx="79">
                  <c:v>5892</c:v>
                </c:pt>
                <c:pt idx="80">
                  <c:v>6672</c:v>
                </c:pt>
                <c:pt idx="81">
                  <c:v>6962</c:v>
                </c:pt>
                <c:pt idx="82">
                  <c:v>5017</c:v>
                </c:pt>
                <c:pt idx="83">
                  <c:v>4428</c:v>
                </c:pt>
                <c:pt idx="84">
                  <c:v>4230</c:v>
                </c:pt>
                <c:pt idx="85">
                  <c:v>14671</c:v>
                </c:pt>
              </c:numCache>
            </c:numRef>
          </c:val>
          <c:extLst>
            <c:ext xmlns:c16="http://schemas.microsoft.com/office/drawing/2014/chart" uri="{C3380CC4-5D6E-409C-BE32-E72D297353CC}">
              <c16:uniqueId val="{00000000-9B11-40E4-BCD7-92FD82E3AECB}"/>
            </c:ext>
          </c:extLst>
        </c:ser>
        <c:ser>
          <c:idx val="3"/>
          <c:order val="1"/>
          <c:tx>
            <c:strRef>
              <c:f>'[Grafice_PRO_01_01_23_nivel_tara(1).xlsx]Figura 4'!$B$4</c:f>
              <c:strCache>
                <c:ptCount val="1"/>
                <c:pt idx="0">
                  <c:v>masculin</c:v>
                </c:pt>
              </c:strCache>
            </c:strRef>
          </c:tx>
          <c:spPr>
            <a:noFill/>
            <a:ln w="25400" cap="flat" cmpd="sng" algn="ctr">
              <a:solidFill>
                <a:schemeClr val="accent1">
                  <a:shade val="76000"/>
                </a:schemeClr>
              </a:solidFill>
              <a:miter lim="800000"/>
            </a:ln>
            <a:effectLst/>
          </c:spPr>
          <c:invertIfNegative val="0"/>
          <c:cat>
            <c:strRef>
              <c:f>'[Grafice_PRO_01_01_23_nivel_tara(1).xlsx]Figura 4'!$A$5:$A$90</c:f>
              <c:strCache>
                <c:ptCount val="8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strCache>
            </c:strRef>
          </c:cat>
          <c:val>
            <c:numRef>
              <c:f>'[Grafice_PRO_01_01_23_nivel_tara(1).xlsx]Figura 4'!$B$5:$B$90</c:f>
              <c:numCache>
                <c:formatCode>0</c:formatCode>
                <c:ptCount val="86"/>
                <c:pt idx="0">
                  <c:v>-13151</c:v>
                </c:pt>
                <c:pt idx="1">
                  <c:v>-13177</c:v>
                </c:pt>
                <c:pt idx="2">
                  <c:v>-14153</c:v>
                </c:pt>
                <c:pt idx="3">
                  <c:v>-14390</c:v>
                </c:pt>
                <c:pt idx="4">
                  <c:v>-15013</c:v>
                </c:pt>
                <c:pt idx="5">
                  <c:v>-15835</c:v>
                </c:pt>
                <c:pt idx="6">
                  <c:v>-17403</c:v>
                </c:pt>
                <c:pt idx="7">
                  <c:v>-17816</c:v>
                </c:pt>
                <c:pt idx="8">
                  <c:v>-17469</c:v>
                </c:pt>
                <c:pt idx="9">
                  <c:v>-15986</c:v>
                </c:pt>
                <c:pt idx="10">
                  <c:v>-15976</c:v>
                </c:pt>
                <c:pt idx="11">
                  <c:v>-15416</c:v>
                </c:pt>
                <c:pt idx="12">
                  <c:v>-15938</c:v>
                </c:pt>
                <c:pt idx="13">
                  <c:v>-16247</c:v>
                </c:pt>
                <c:pt idx="14">
                  <c:v>-15257</c:v>
                </c:pt>
                <c:pt idx="15">
                  <c:v>-15442</c:v>
                </c:pt>
                <c:pt idx="16">
                  <c:v>-14532</c:v>
                </c:pt>
                <c:pt idx="17">
                  <c:v>-13854</c:v>
                </c:pt>
                <c:pt idx="18">
                  <c:v>-13442</c:v>
                </c:pt>
                <c:pt idx="19">
                  <c:v>-11781</c:v>
                </c:pt>
                <c:pt idx="20">
                  <c:v>-11471</c:v>
                </c:pt>
                <c:pt idx="21">
                  <c:v>-10597</c:v>
                </c:pt>
                <c:pt idx="22">
                  <c:v>-11764</c:v>
                </c:pt>
                <c:pt idx="23">
                  <c:v>-10817</c:v>
                </c:pt>
                <c:pt idx="24">
                  <c:v>-11925</c:v>
                </c:pt>
                <c:pt idx="25">
                  <c:v>-12733</c:v>
                </c:pt>
                <c:pt idx="26">
                  <c:v>-13765</c:v>
                </c:pt>
                <c:pt idx="27">
                  <c:v>-14482</c:v>
                </c:pt>
                <c:pt idx="28">
                  <c:v>-15512</c:v>
                </c:pt>
                <c:pt idx="29">
                  <c:v>-16351</c:v>
                </c:pt>
                <c:pt idx="30">
                  <c:v>-17612</c:v>
                </c:pt>
                <c:pt idx="31">
                  <c:v>-17062</c:v>
                </c:pt>
                <c:pt idx="32">
                  <c:v>-18893</c:v>
                </c:pt>
                <c:pt idx="33">
                  <c:v>-19452</c:v>
                </c:pt>
                <c:pt idx="34">
                  <c:v>-20321</c:v>
                </c:pt>
                <c:pt idx="35">
                  <c:v>-20917</c:v>
                </c:pt>
                <c:pt idx="36">
                  <c:v>-21800</c:v>
                </c:pt>
                <c:pt idx="37">
                  <c:v>-20288</c:v>
                </c:pt>
                <c:pt idx="38">
                  <c:v>-20016</c:v>
                </c:pt>
                <c:pt idx="39">
                  <c:v>-19747</c:v>
                </c:pt>
                <c:pt idx="40">
                  <c:v>-18285</c:v>
                </c:pt>
                <c:pt idx="41">
                  <c:v>-17677</c:v>
                </c:pt>
                <c:pt idx="42">
                  <c:v>-17476</c:v>
                </c:pt>
                <c:pt idx="43">
                  <c:v>-17053</c:v>
                </c:pt>
                <c:pt idx="44">
                  <c:v>-16435</c:v>
                </c:pt>
                <c:pt idx="45">
                  <c:v>-15584</c:v>
                </c:pt>
                <c:pt idx="46">
                  <c:v>-16380</c:v>
                </c:pt>
                <c:pt idx="47">
                  <c:v>-16411</c:v>
                </c:pt>
                <c:pt idx="48">
                  <c:v>-16080</c:v>
                </c:pt>
                <c:pt idx="49">
                  <c:v>-15635</c:v>
                </c:pt>
                <c:pt idx="50">
                  <c:v>-16246</c:v>
                </c:pt>
                <c:pt idx="51">
                  <c:v>-15256</c:v>
                </c:pt>
                <c:pt idx="52">
                  <c:v>-15389</c:v>
                </c:pt>
                <c:pt idx="53">
                  <c:v>-14722</c:v>
                </c:pt>
                <c:pt idx="54">
                  <c:v>-15442</c:v>
                </c:pt>
                <c:pt idx="55">
                  <c:v>-15200</c:v>
                </c:pt>
                <c:pt idx="56">
                  <c:v>-15198</c:v>
                </c:pt>
                <c:pt idx="57">
                  <c:v>-14667</c:v>
                </c:pt>
                <c:pt idx="58">
                  <c:v>-15801</c:v>
                </c:pt>
                <c:pt idx="59">
                  <c:v>-16243</c:v>
                </c:pt>
                <c:pt idx="60">
                  <c:v>-16726</c:v>
                </c:pt>
                <c:pt idx="61">
                  <c:v>-17420</c:v>
                </c:pt>
                <c:pt idx="62">
                  <c:v>-18070</c:v>
                </c:pt>
                <c:pt idx="63">
                  <c:v>-17491</c:v>
                </c:pt>
                <c:pt idx="64">
                  <c:v>-16653</c:v>
                </c:pt>
                <c:pt idx="65">
                  <c:v>-15501</c:v>
                </c:pt>
                <c:pt idx="66">
                  <c:v>-14151</c:v>
                </c:pt>
                <c:pt idx="67">
                  <c:v>-13189</c:v>
                </c:pt>
                <c:pt idx="68">
                  <c:v>-12802</c:v>
                </c:pt>
                <c:pt idx="69">
                  <c:v>-11251</c:v>
                </c:pt>
                <c:pt idx="70">
                  <c:v>-11167</c:v>
                </c:pt>
                <c:pt idx="71">
                  <c:v>-11168</c:v>
                </c:pt>
                <c:pt idx="72">
                  <c:v>-10652</c:v>
                </c:pt>
                <c:pt idx="73">
                  <c:v>-10123</c:v>
                </c:pt>
                <c:pt idx="74">
                  <c:v>-7492</c:v>
                </c:pt>
                <c:pt idx="75">
                  <c:v>-4609</c:v>
                </c:pt>
                <c:pt idx="76">
                  <c:v>-3891</c:v>
                </c:pt>
                <c:pt idx="77">
                  <c:v>-2443</c:v>
                </c:pt>
                <c:pt idx="78">
                  <c:v>-2780</c:v>
                </c:pt>
                <c:pt idx="79">
                  <c:v>-2922</c:v>
                </c:pt>
                <c:pt idx="80">
                  <c:v>-3135</c:v>
                </c:pt>
                <c:pt idx="81">
                  <c:v>-3355</c:v>
                </c:pt>
                <c:pt idx="82">
                  <c:v>-2276</c:v>
                </c:pt>
                <c:pt idx="83">
                  <c:v>-1805</c:v>
                </c:pt>
                <c:pt idx="84">
                  <c:v>-1654</c:v>
                </c:pt>
                <c:pt idx="85">
                  <c:v>-5887</c:v>
                </c:pt>
              </c:numCache>
            </c:numRef>
          </c:val>
          <c:extLst>
            <c:ext xmlns:c16="http://schemas.microsoft.com/office/drawing/2014/chart" uri="{C3380CC4-5D6E-409C-BE32-E72D297353CC}">
              <c16:uniqueId val="{00000001-9B11-40E4-BCD7-92FD82E3AECB}"/>
            </c:ext>
          </c:extLst>
        </c:ser>
        <c:ser>
          <c:idx val="1"/>
          <c:order val="2"/>
          <c:tx>
            <c:strRef>
              <c:f>'[Grafice_PRO_01_01_23_nivel_tara(1).xlsx]Figura 4'!$C$4</c:f>
              <c:strCache>
                <c:ptCount val="1"/>
                <c:pt idx="0">
                  <c:v>feminin</c:v>
                </c:pt>
              </c:strCache>
            </c:strRef>
          </c:tx>
          <c:spPr>
            <a:noFill/>
            <a:ln w="25400" cap="flat" cmpd="sng" algn="ctr">
              <a:solidFill>
                <a:schemeClr val="accent1">
                  <a:tint val="77000"/>
                </a:schemeClr>
              </a:solidFill>
              <a:miter lim="800000"/>
            </a:ln>
            <a:effectLst/>
          </c:spPr>
          <c:invertIfNegative val="0"/>
          <c:cat>
            <c:strRef>
              <c:f>'[Grafice_PRO_01_01_23_nivel_tara(1).xlsx]Figura 4'!$A$5:$A$90</c:f>
              <c:strCache>
                <c:ptCount val="8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strCache>
            </c:strRef>
          </c:cat>
          <c:val>
            <c:numRef>
              <c:f>'[Grafice_PRO_01_01_23_nivel_tara(1).xlsx]Figura 4'!$C$5:$C$90</c:f>
              <c:numCache>
                <c:formatCode>0</c:formatCode>
                <c:ptCount val="86"/>
                <c:pt idx="0">
                  <c:v>12229</c:v>
                </c:pt>
                <c:pt idx="1">
                  <c:v>12338</c:v>
                </c:pt>
                <c:pt idx="2">
                  <c:v>12680</c:v>
                </c:pt>
                <c:pt idx="3">
                  <c:v>13656</c:v>
                </c:pt>
                <c:pt idx="4">
                  <c:v>14126</c:v>
                </c:pt>
                <c:pt idx="5">
                  <c:v>14931</c:v>
                </c:pt>
                <c:pt idx="6">
                  <c:v>16264</c:v>
                </c:pt>
                <c:pt idx="7">
                  <c:v>16467</c:v>
                </c:pt>
                <c:pt idx="8">
                  <c:v>16526</c:v>
                </c:pt>
                <c:pt idx="9">
                  <c:v>15384</c:v>
                </c:pt>
                <c:pt idx="10">
                  <c:v>15070</c:v>
                </c:pt>
                <c:pt idx="11">
                  <c:v>14794</c:v>
                </c:pt>
                <c:pt idx="12">
                  <c:v>15308</c:v>
                </c:pt>
                <c:pt idx="13">
                  <c:v>15333</c:v>
                </c:pt>
                <c:pt idx="14">
                  <c:v>14911</c:v>
                </c:pt>
                <c:pt idx="15">
                  <c:v>14546</c:v>
                </c:pt>
                <c:pt idx="16">
                  <c:v>13443</c:v>
                </c:pt>
                <c:pt idx="17">
                  <c:v>13451</c:v>
                </c:pt>
                <c:pt idx="18">
                  <c:v>13088</c:v>
                </c:pt>
                <c:pt idx="19">
                  <c:v>11464</c:v>
                </c:pt>
                <c:pt idx="20">
                  <c:v>11125</c:v>
                </c:pt>
                <c:pt idx="21">
                  <c:v>10788</c:v>
                </c:pt>
                <c:pt idx="22">
                  <c:v>11467</c:v>
                </c:pt>
                <c:pt idx="23">
                  <c:v>11191</c:v>
                </c:pt>
                <c:pt idx="24">
                  <c:v>11639</c:v>
                </c:pt>
                <c:pt idx="25">
                  <c:v>12507</c:v>
                </c:pt>
                <c:pt idx="26">
                  <c:v>13911</c:v>
                </c:pt>
                <c:pt idx="27">
                  <c:v>14540</c:v>
                </c:pt>
                <c:pt idx="28">
                  <c:v>16328</c:v>
                </c:pt>
                <c:pt idx="29">
                  <c:v>17280</c:v>
                </c:pt>
                <c:pt idx="30">
                  <c:v>18399</c:v>
                </c:pt>
                <c:pt idx="31">
                  <c:v>18020</c:v>
                </c:pt>
                <c:pt idx="32">
                  <c:v>19263</c:v>
                </c:pt>
                <c:pt idx="33">
                  <c:v>19918</c:v>
                </c:pt>
                <c:pt idx="34">
                  <c:v>20928</c:v>
                </c:pt>
                <c:pt idx="35">
                  <c:v>21142</c:v>
                </c:pt>
                <c:pt idx="36">
                  <c:v>21814</c:v>
                </c:pt>
                <c:pt idx="37">
                  <c:v>20855</c:v>
                </c:pt>
                <c:pt idx="38">
                  <c:v>20085</c:v>
                </c:pt>
                <c:pt idx="39">
                  <c:v>20326</c:v>
                </c:pt>
                <c:pt idx="40">
                  <c:v>18908</c:v>
                </c:pt>
                <c:pt idx="41">
                  <c:v>18167</c:v>
                </c:pt>
                <c:pt idx="42">
                  <c:v>18520</c:v>
                </c:pt>
                <c:pt idx="43">
                  <c:v>17772</c:v>
                </c:pt>
                <c:pt idx="44">
                  <c:v>17644</c:v>
                </c:pt>
                <c:pt idx="45">
                  <c:v>16310</c:v>
                </c:pt>
                <c:pt idx="46">
                  <c:v>16984</c:v>
                </c:pt>
                <c:pt idx="47">
                  <c:v>17379</c:v>
                </c:pt>
                <c:pt idx="48">
                  <c:v>17136</c:v>
                </c:pt>
                <c:pt idx="49">
                  <c:v>17061</c:v>
                </c:pt>
                <c:pt idx="50">
                  <c:v>17502</c:v>
                </c:pt>
                <c:pt idx="51">
                  <c:v>16517</c:v>
                </c:pt>
                <c:pt idx="52">
                  <c:v>16266</c:v>
                </c:pt>
                <c:pt idx="53">
                  <c:v>15759</c:v>
                </c:pt>
                <c:pt idx="54">
                  <c:v>16922</c:v>
                </c:pt>
                <c:pt idx="55">
                  <c:v>16988</c:v>
                </c:pt>
                <c:pt idx="56">
                  <c:v>16969</c:v>
                </c:pt>
                <c:pt idx="57">
                  <c:v>17027</c:v>
                </c:pt>
                <c:pt idx="58">
                  <c:v>18325</c:v>
                </c:pt>
                <c:pt idx="59">
                  <c:v>19807</c:v>
                </c:pt>
                <c:pt idx="60">
                  <c:v>20380</c:v>
                </c:pt>
                <c:pt idx="61">
                  <c:v>21323</c:v>
                </c:pt>
                <c:pt idx="62">
                  <c:v>22456</c:v>
                </c:pt>
                <c:pt idx="63">
                  <c:v>22700</c:v>
                </c:pt>
                <c:pt idx="64">
                  <c:v>21554</c:v>
                </c:pt>
                <c:pt idx="65">
                  <c:v>20793</c:v>
                </c:pt>
                <c:pt idx="66">
                  <c:v>20016</c:v>
                </c:pt>
                <c:pt idx="67">
                  <c:v>18693</c:v>
                </c:pt>
                <c:pt idx="68">
                  <c:v>19222</c:v>
                </c:pt>
                <c:pt idx="69">
                  <c:v>17265</c:v>
                </c:pt>
                <c:pt idx="70">
                  <c:v>17114</c:v>
                </c:pt>
                <c:pt idx="71">
                  <c:v>17580</c:v>
                </c:pt>
                <c:pt idx="72">
                  <c:v>17363</c:v>
                </c:pt>
                <c:pt idx="73">
                  <c:v>16989</c:v>
                </c:pt>
                <c:pt idx="74">
                  <c:v>12769</c:v>
                </c:pt>
                <c:pt idx="75">
                  <c:v>8041</c:v>
                </c:pt>
                <c:pt idx="76">
                  <c:v>7280</c:v>
                </c:pt>
                <c:pt idx="77">
                  <c:v>4628</c:v>
                </c:pt>
                <c:pt idx="78">
                  <c:v>5626</c:v>
                </c:pt>
                <c:pt idx="79">
                  <c:v>5892</c:v>
                </c:pt>
                <c:pt idx="80">
                  <c:v>6672</c:v>
                </c:pt>
                <c:pt idx="81">
                  <c:v>6962</c:v>
                </c:pt>
                <c:pt idx="82">
                  <c:v>5017</c:v>
                </c:pt>
                <c:pt idx="83">
                  <c:v>4428</c:v>
                </c:pt>
                <c:pt idx="84">
                  <c:v>4230</c:v>
                </c:pt>
                <c:pt idx="85">
                  <c:v>14671</c:v>
                </c:pt>
              </c:numCache>
            </c:numRef>
          </c:val>
          <c:extLst>
            <c:ext xmlns:c16="http://schemas.microsoft.com/office/drawing/2014/chart" uri="{C3380CC4-5D6E-409C-BE32-E72D297353CC}">
              <c16:uniqueId val="{00000002-9B11-40E4-BCD7-92FD82E3AECB}"/>
            </c:ext>
          </c:extLst>
        </c:ser>
        <c:ser>
          <c:idx val="0"/>
          <c:order val="3"/>
          <c:tx>
            <c:strRef>
              <c:f>'[Grafice_PRO_01_01_23_nivel_tara(1).xlsx]Figura 4'!$B$4</c:f>
              <c:strCache>
                <c:ptCount val="1"/>
                <c:pt idx="0">
                  <c:v>masculin</c:v>
                </c:pt>
              </c:strCache>
            </c:strRef>
          </c:tx>
          <c:spPr>
            <a:noFill/>
            <a:ln w="25400" cap="flat" cmpd="sng" algn="ctr">
              <a:solidFill>
                <a:schemeClr val="accent1">
                  <a:shade val="76000"/>
                </a:schemeClr>
              </a:solidFill>
              <a:miter lim="800000"/>
            </a:ln>
            <a:effectLst/>
          </c:spPr>
          <c:invertIfNegative val="0"/>
          <c:cat>
            <c:strRef>
              <c:f>'[Grafice_PRO_01_01_23_nivel_tara(1).xlsx]Figura 4'!$A$5:$A$90</c:f>
              <c:strCache>
                <c:ptCount val="8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strCache>
            </c:strRef>
          </c:cat>
          <c:val>
            <c:numRef>
              <c:f>'[Grafice_PRO_01_01_23_nivel_tara(1).xlsx]Figura 4'!$B$5:$B$90</c:f>
              <c:numCache>
                <c:formatCode>0</c:formatCode>
                <c:ptCount val="86"/>
                <c:pt idx="0">
                  <c:v>-13151</c:v>
                </c:pt>
                <c:pt idx="1">
                  <c:v>-13177</c:v>
                </c:pt>
                <c:pt idx="2">
                  <c:v>-14153</c:v>
                </c:pt>
                <c:pt idx="3">
                  <c:v>-14390</c:v>
                </c:pt>
                <c:pt idx="4">
                  <c:v>-15013</c:v>
                </c:pt>
                <c:pt idx="5">
                  <c:v>-15835</c:v>
                </c:pt>
                <c:pt idx="6">
                  <c:v>-17403</c:v>
                </c:pt>
                <c:pt idx="7">
                  <c:v>-17816</c:v>
                </c:pt>
                <c:pt idx="8">
                  <c:v>-17469</c:v>
                </c:pt>
                <c:pt idx="9">
                  <c:v>-15986</c:v>
                </c:pt>
                <c:pt idx="10">
                  <c:v>-15976</c:v>
                </c:pt>
                <c:pt idx="11">
                  <c:v>-15416</c:v>
                </c:pt>
                <c:pt idx="12">
                  <c:v>-15938</c:v>
                </c:pt>
                <c:pt idx="13">
                  <c:v>-16247</c:v>
                </c:pt>
                <c:pt idx="14">
                  <c:v>-15257</c:v>
                </c:pt>
                <c:pt idx="15">
                  <c:v>-15442</c:v>
                </c:pt>
                <c:pt idx="16">
                  <c:v>-14532</c:v>
                </c:pt>
                <c:pt idx="17">
                  <c:v>-13854</c:v>
                </c:pt>
                <c:pt idx="18">
                  <c:v>-13442</c:v>
                </c:pt>
                <c:pt idx="19">
                  <c:v>-11781</c:v>
                </c:pt>
                <c:pt idx="20">
                  <c:v>-11471</c:v>
                </c:pt>
                <c:pt idx="21">
                  <c:v>-10597</c:v>
                </c:pt>
                <c:pt idx="22">
                  <c:v>-11764</c:v>
                </c:pt>
                <c:pt idx="23">
                  <c:v>-10817</c:v>
                </c:pt>
                <c:pt idx="24">
                  <c:v>-11925</c:v>
                </c:pt>
                <c:pt idx="25">
                  <c:v>-12733</c:v>
                </c:pt>
                <c:pt idx="26">
                  <c:v>-13765</c:v>
                </c:pt>
                <c:pt idx="27">
                  <c:v>-14482</c:v>
                </c:pt>
                <c:pt idx="28">
                  <c:v>-15512</c:v>
                </c:pt>
                <c:pt idx="29">
                  <c:v>-16351</c:v>
                </c:pt>
                <c:pt idx="30">
                  <c:v>-17612</c:v>
                </c:pt>
                <c:pt idx="31">
                  <c:v>-17062</c:v>
                </c:pt>
                <c:pt idx="32">
                  <c:v>-18893</c:v>
                </c:pt>
                <c:pt idx="33">
                  <c:v>-19452</c:v>
                </c:pt>
                <c:pt idx="34">
                  <c:v>-20321</c:v>
                </c:pt>
                <c:pt idx="35">
                  <c:v>-20917</c:v>
                </c:pt>
                <c:pt idx="36">
                  <c:v>-21800</c:v>
                </c:pt>
                <c:pt idx="37">
                  <c:v>-20288</c:v>
                </c:pt>
                <c:pt idx="38">
                  <c:v>-20016</c:v>
                </c:pt>
                <c:pt idx="39">
                  <c:v>-19747</c:v>
                </c:pt>
                <c:pt idx="40">
                  <c:v>-18285</c:v>
                </c:pt>
                <c:pt idx="41">
                  <c:v>-17677</c:v>
                </c:pt>
                <c:pt idx="42">
                  <c:v>-17476</c:v>
                </c:pt>
                <c:pt idx="43">
                  <c:v>-17053</c:v>
                </c:pt>
                <c:pt idx="44">
                  <c:v>-16435</c:v>
                </c:pt>
                <c:pt idx="45">
                  <c:v>-15584</c:v>
                </c:pt>
                <c:pt idx="46">
                  <c:v>-16380</c:v>
                </c:pt>
                <c:pt idx="47">
                  <c:v>-16411</c:v>
                </c:pt>
                <c:pt idx="48">
                  <c:v>-16080</c:v>
                </c:pt>
                <c:pt idx="49">
                  <c:v>-15635</c:v>
                </c:pt>
                <c:pt idx="50">
                  <c:v>-16246</c:v>
                </c:pt>
                <c:pt idx="51">
                  <c:v>-15256</c:v>
                </c:pt>
                <c:pt idx="52">
                  <c:v>-15389</c:v>
                </c:pt>
                <c:pt idx="53">
                  <c:v>-14722</c:v>
                </c:pt>
                <c:pt idx="54">
                  <c:v>-15442</c:v>
                </c:pt>
                <c:pt idx="55">
                  <c:v>-15200</c:v>
                </c:pt>
                <c:pt idx="56">
                  <c:v>-15198</c:v>
                </c:pt>
                <c:pt idx="57">
                  <c:v>-14667</c:v>
                </c:pt>
                <c:pt idx="58">
                  <c:v>-15801</c:v>
                </c:pt>
                <c:pt idx="59">
                  <c:v>-16243</c:v>
                </c:pt>
                <c:pt idx="60">
                  <c:v>-16726</c:v>
                </c:pt>
                <c:pt idx="61">
                  <c:v>-17420</c:v>
                </c:pt>
                <c:pt idx="62">
                  <c:v>-18070</c:v>
                </c:pt>
                <c:pt idx="63">
                  <c:v>-17491</c:v>
                </c:pt>
                <c:pt idx="64">
                  <c:v>-16653</c:v>
                </c:pt>
                <c:pt idx="65">
                  <c:v>-15501</c:v>
                </c:pt>
                <c:pt idx="66">
                  <c:v>-14151</c:v>
                </c:pt>
                <c:pt idx="67">
                  <c:v>-13189</c:v>
                </c:pt>
                <c:pt idx="68">
                  <c:v>-12802</c:v>
                </c:pt>
                <c:pt idx="69">
                  <c:v>-11251</c:v>
                </c:pt>
                <c:pt idx="70">
                  <c:v>-11167</c:v>
                </c:pt>
                <c:pt idx="71">
                  <c:v>-11168</c:v>
                </c:pt>
                <c:pt idx="72">
                  <c:v>-10652</c:v>
                </c:pt>
                <c:pt idx="73">
                  <c:v>-10123</c:v>
                </c:pt>
                <c:pt idx="74">
                  <c:v>-7492</c:v>
                </c:pt>
                <c:pt idx="75">
                  <c:v>-4609</c:v>
                </c:pt>
                <c:pt idx="76">
                  <c:v>-3891</c:v>
                </c:pt>
                <c:pt idx="77">
                  <c:v>-2443</c:v>
                </c:pt>
                <c:pt idx="78">
                  <c:v>-2780</c:v>
                </c:pt>
                <c:pt idx="79">
                  <c:v>-2922</c:v>
                </c:pt>
                <c:pt idx="80">
                  <c:v>-3135</c:v>
                </c:pt>
                <c:pt idx="81">
                  <c:v>-3355</c:v>
                </c:pt>
                <c:pt idx="82">
                  <c:v>-2276</c:v>
                </c:pt>
                <c:pt idx="83">
                  <c:v>-1805</c:v>
                </c:pt>
                <c:pt idx="84">
                  <c:v>-1654</c:v>
                </c:pt>
                <c:pt idx="85">
                  <c:v>-5887</c:v>
                </c:pt>
              </c:numCache>
            </c:numRef>
          </c:val>
          <c:extLst>
            <c:ext xmlns:c16="http://schemas.microsoft.com/office/drawing/2014/chart" uri="{C3380CC4-5D6E-409C-BE32-E72D297353CC}">
              <c16:uniqueId val="{00000003-9B11-40E4-BCD7-92FD82E3AECB}"/>
            </c:ext>
          </c:extLst>
        </c:ser>
        <c:dLbls>
          <c:showLegendKey val="0"/>
          <c:showVal val="0"/>
          <c:showCatName val="0"/>
          <c:showSerName val="0"/>
          <c:showPercent val="0"/>
          <c:showBubbleSize val="0"/>
        </c:dLbls>
        <c:gapWidth val="7"/>
        <c:overlap val="-48"/>
        <c:axId val="53853568"/>
        <c:axId val="53855360"/>
      </c:barChart>
      <c:catAx>
        <c:axId val="53853568"/>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o-MD"/>
          </a:p>
        </c:txPr>
        <c:crossAx val="53855360"/>
        <c:crosses val="autoZero"/>
        <c:auto val="1"/>
        <c:lblAlgn val="ctr"/>
        <c:lblOffset val="100"/>
        <c:tickLblSkip val="5"/>
        <c:tickMarkSkip val="3"/>
        <c:noMultiLvlLbl val="1"/>
      </c:catAx>
      <c:valAx>
        <c:axId val="53855360"/>
        <c:scaling>
          <c:orientation val="minMax"/>
        </c:scaling>
        <c:delete val="0"/>
        <c:axPos val="b"/>
        <c:majorGridlines>
          <c:spPr>
            <a:ln w="9525">
              <a:solidFill>
                <a:schemeClr val="tx1">
                  <a:lumMod val="15000"/>
                  <a:lumOff val="85000"/>
                </a:schemeClr>
              </a:solidFill>
            </a:ln>
            <a:effectLst/>
          </c:spPr>
        </c:majorGridlines>
        <c:numFmt formatCode="#\ ##0;#\ ##0" sourceLinked="0"/>
        <c:majorTickMark val="out"/>
        <c:minorTickMark val="none"/>
        <c:tickLblPos val="nextTo"/>
        <c:spPr>
          <a:noFill/>
          <a:ln w="9525">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o-MD"/>
          </a:p>
        </c:txPr>
        <c:crossAx val="53853568"/>
        <c:crossesAt val="1"/>
        <c:crossBetween val="between"/>
        <c:dispUnits>
          <c:builtInUnit val="thousands"/>
          <c:dispUnitsLbl>
            <c:tx>
              <c:rich>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a:t>mii</a:t>
                  </a:r>
                </a:p>
              </c:rich>
            </c:tx>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o-MD"/>
              </a:p>
            </c:txPr>
          </c:dispUnitsLbl>
        </c:dispUnits>
      </c:valAx>
      <c:spPr>
        <a:noFill/>
        <a:ln>
          <a:noFill/>
        </a:ln>
        <a:effectLst/>
      </c:spPr>
    </c:plotArea>
    <c:legend>
      <c:legendPos val="b"/>
      <c:legendEntry>
        <c:idx val="2"/>
        <c:delete val="1"/>
      </c:legendEntry>
      <c:legendEntry>
        <c:idx val="3"/>
        <c:delete val="1"/>
      </c:legendEntry>
      <c:layout>
        <c:manualLayout>
          <c:xMode val="edge"/>
          <c:yMode val="edge"/>
          <c:x val="0.27654413453688531"/>
          <c:y val="0.9508110175511022"/>
          <c:w val="0.61031022415895142"/>
          <c:h val="4.9188982448897821E-2"/>
        </c:manualLayout>
      </c:layout>
      <c:overlay val="1"/>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o-MD"/>
        </a:p>
      </c:txPr>
    </c:legend>
    <c:plotVisOnly val="1"/>
    <c:dispBlanksAs val="gap"/>
    <c:showDLblsOverMax val="0"/>
    <c:extLst/>
  </c:chart>
  <c:spPr>
    <a:solidFill>
      <a:schemeClr val="bg1"/>
    </a:solidFill>
    <a:ln w="9525" cap="flat" cmpd="sng" algn="ctr">
      <a:solidFill>
        <a:schemeClr val="tx1"/>
      </a:solidFill>
      <a:round/>
    </a:ln>
    <a:effectLst/>
  </c:spPr>
  <c:txPr>
    <a:bodyPr/>
    <a:lstStyle/>
    <a:p>
      <a:pPr>
        <a:defRPr sz="900" baseline="0">
          <a:solidFill>
            <a:sysClr val="windowText" lastClr="000000"/>
          </a:solidFill>
          <a:latin typeface="Arial" panose="020B0604020202020204" pitchFamily="34" charset="0"/>
          <a:cs typeface="Arial" panose="020B0604020202020204" pitchFamily="34" charset="0"/>
        </a:defRPr>
      </a:pPr>
      <a:endParaRPr lang="ro-MD"/>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'[lucru raport 2021 (1).xlsx]1-2_Evolutia Indicat.Principali'!$L$2</c:f>
              <c:strCache>
                <c:ptCount val="1"/>
                <c:pt idx="0">
                  <c:v>2022</c:v>
                </c:pt>
              </c:strCache>
            </c:strRef>
          </c:tx>
          <c:invertIfNegative val="0"/>
          <c:dLbls>
            <c:dLbl>
              <c:idx val="0"/>
              <c:layout>
                <c:manualLayout>
                  <c:x val="-1.1286681715575621E-2"/>
                  <c:y val="-1.76211453744493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55F-4F6A-9F0F-5B1E7FB1007C}"/>
                </c:ext>
              </c:extLst>
            </c:dLbl>
            <c:dLbl>
              <c:idx val="1"/>
              <c:layout>
                <c:manualLayout>
                  <c:x val="-5.6433408577878617E-3"/>
                  <c:y val="2.34948604992657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55F-4F6A-9F0F-5B1E7FB1007C}"/>
                </c:ext>
              </c:extLst>
            </c:dLbl>
            <c:spPr>
              <a:noFill/>
              <a:ln w="9525">
                <a:noFill/>
              </a:ln>
              <a:effectLst/>
            </c:spPr>
            <c:txPr>
              <a:bodyPr wrap="square" lIns="38100" tIns="19050" rIns="38100" bIns="19050" anchor="ctr">
                <a:spAutoFit/>
              </a:bodyPr>
              <a:lstStyle/>
              <a:p>
                <a:pPr>
                  <a:defRPr sz="900" b="1" i="0" baseline="0">
                    <a:solidFill>
                      <a:srgbClr val="0070C0"/>
                    </a:solidFill>
                    <a:latin typeface="Times New Roman" panose="02020603050405020304" pitchFamily="18" charset="0"/>
                    <a:cs typeface="Times New Roman" panose="02020603050405020304" pitchFamily="18" charset="0"/>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'[lucru raport 2021 (1).xlsx]1-2_Evolutia Indicat.Principali'!$K$3:$K$7</c:f>
              <c:strCache>
                <c:ptCount val="5"/>
                <c:pt idx="0">
                  <c:v>Total</c:v>
                </c:pt>
                <c:pt idx="1">
                  <c:v>Bărbați</c:v>
                </c:pt>
                <c:pt idx="2">
                  <c:v>Femei </c:v>
                </c:pt>
                <c:pt idx="3">
                  <c:v>Urban</c:v>
                </c:pt>
                <c:pt idx="4">
                  <c:v>Rural</c:v>
                </c:pt>
              </c:strCache>
            </c:strRef>
          </c:cat>
          <c:val>
            <c:numRef>
              <c:f>'[lucru raport 2021 (1).xlsx]1-2_Evolutia Indicat.Principali'!$L$3:$L$7</c:f>
              <c:numCache>
                <c:formatCode>0.0</c:formatCode>
                <c:ptCount val="5"/>
                <c:pt idx="0" formatCode="General">
                  <c:v>41.8</c:v>
                </c:pt>
                <c:pt idx="1">
                  <c:v>46.3</c:v>
                </c:pt>
                <c:pt idx="2">
                  <c:v>37.799999999999997</c:v>
                </c:pt>
                <c:pt idx="3">
                  <c:v>49.1</c:v>
                </c:pt>
                <c:pt idx="4">
                  <c:v>37.1</c:v>
                </c:pt>
              </c:numCache>
            </c:numRef>
          </c:val>
          <c:extLst>
            <c:ext xmlns:c16="http://schemas.microsoft.com/office/drawing/2014/chart" uri="{C3380CC4-5D6E-409C-BE32-E72D297353CC}">
              <c16:uniqueId val="{00000000-DA51-4A0D-A120-AD0CB870EF87}"/>
            </c:ext>
          </c:extLst>
        </c:ser>
        <c:ser>
          <c:idx val="1"/>
          <c:order val="1"/>
          <c:tx>
            <c:strRef>
              <c:f>'[lucru raport 2021 (1).xlsx]1-2_Evolutia Indicat.Principali'!$M$2</c:f>
              <c:strCache>
                <c:ptCount val="1"/>
                <c:pt idx="0">
                  <c:v>2023</c:v>
                </c:pt>
              </c:strCache>
            </c:strRef>
          </c:tx>
          <c:invertIfNegative val="0"/>
          <c:dLbls>
            <c:dLbl>
              <c:idx val="0"/>
              <c:layout>
                <c:manualLayout>
                  <c:x val="0"/>
                  <c:y val="2.34948604992657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55F-4F6A-9F0F-5B1E7FB1007C}"/>
                </c:ext>
              </c:extLst>
            </c:dLbl>
            <c:dLbl>
              <c:idx val="2"/>
              <c:layout>
                <c:manualLayout>
                  <c:x val="1.1286681715575621E-2"/>
                  <c:y val="3.52422907488986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55F-4F6A-9F0F-5B1E7FB1007C}"/>
                </c:ext>
              </c:extLst>
            </c:dLbl>
            <c:dLbl>
              <c:idx val="3"/>
              <c:layout>
                <c:manualLayout>
                  <c:x val="0"/>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55F-4F6A-9F0F-5B1E7FB1007C}"/>
                </c:ext>
              </c:extLst>
            </c:dLbl>
            <c:dLbl>
              <c:idx val="4"/>
              <c:layout>
                <c:manualLayout>
                  <c:x val="2.8216704288939053E-3"/>
                  <c:y val="2.93685756240822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55F-4F6A-9F0F-5B1E7FB1007C}"/>
                </c:ext>
              </c:extLst>
            </c:dLbl>
            <c:spPr>
              <a:noFill/>
              <a:ln>
                <a:noFill/>
              </a:ln>
              <a:effectLst/>
            </c:spPr>
            <c:txPr>
              <a:bodyPr wrap="square" lIns="38100" tIns="19050" rIns="38100" bIns="19050" anchor="ctr">
                <a:spAutoFit/>
              </a:bodyPr>
              <a:lstStyle/>
              <a:p>
                <a:pPr>
                  <a:defRPr sz="900" b="1" i="0" baseline="0">
                    <a:solidFill>
                      <a:srgbClr val="C00000"/>
                    </a:solidFill>
                    <a:latin typeface="Times New Roman" panose="02020603050405020304" pitchFamily="18" charset="0"/>
                    <a:cs typeface="Times New Roman" panose="02020603050405020304" pitchFamily="18" charset="0"/>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'[lucru raport 2021 (1).xlsx]1-2_Evolutia Indicat.Principali'!$K$3:$K$7</c:f>
              <c:strCache>
                <c:ptCount val="5"/>
                <c:pt idx="0">
                  <c:v>Total</c:v>
                </c:pt>
                <c:pt idx="1">
                  <c:v>Bărbați</c:v>
                </c:pt>
                <c:pt idx="2">
                  <c:v>Femei </c:v>
                </c:pt>
                <c:pt idx="3">
                  <c:v>Urban</c:v>
                </c:pt>
                <c:pt idx="4">
                  <c:v>Rural</c:v>
                </c:pt>
              </c:strCache>
            </c:strRef>
          </c:cat>
          <c:val>
            <c:numRef>
              <c:f>'[lucru raport 2021 (1).xlsx]1-2_Evolutia Indicat.Principali'!$M$3:$M$7</c:f>
              <c:numCache>
                <c:formatCode>General</c:formatCode>
                <c:ptCount val="5"/>
                <c:pt idx="0">
                  <c:v>45.1</c:v>
                </c:pt>
                <c:pt idx="1">
                  <c:v>49.5</c:v>
                </c:pt>
                <c:pt idx="2" formatCode="0.0">
                  <c:v>41.4</c:v>
                </c:pt>
                <c:pt idx="3" formatCode="0.0">
                  <c:v>49.8</c:v>
                </c:pt>
                <c:pt idx="4" formatCode="0.0">
                  <c:v>41.7</c:v>
                </c:pt>
              </c:numCache>
            </c:numRef>
          </c:val>
          <c:extLst>
            <c:ext xmlns:c16="http://schemas.microsoft.com/office/drawing/2014/chart" uri="{C3380CC4-5D6E-409C-BE32-E72D297353CC}">
              <c16:uniqueId val="{00000001-DA51-4A0D-A120-AD0CB870EF87}"/>
            </c:ext>
          </c:extLst>
        </c:ser>
        <c:dLbls>
          <c:showLegendKey val="0"/>
          <c:showVal val="0"/>
          <c:showCatName val="0"/>
          <c:showSerName val="0"/>
          <c:showPercent val="0"/>
          <c:showBubbleSize val="0"/>
        </c:dLbls>
        <c:gapWidth val="150"/>
        <c:axId val="81288576"/>
        <c:axId val="81306752"/>
      </c:barChart>
      <c:catAx>
        <c:axId val="81288576"/>
        <c:scaling>
          <c:orientation val="minMax"/>
        </c:scaling>
        <c:delete val="0"/>
        <c:axPos val="b"/>
        <c:numFmt formatCode="General" sourceLinked="0"/>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ro-MD"/>
          </a:p>
        </c:txPr>
        <c:crossAx val="81306752"/>
        <c:crosses val="autoZero"/>
        <c:auto val="1"/>
        <c:lblAlgn val="ctr"/>
        <c:lblOffset val="100"/>
        <c:noMultiLvlLbl val="0"/>
      </c:catAx>
      <c:valAx>
        <c:axId val="81306752"/>
        <c:scaling>
          <c:orientation val="minMax"/>
          <c:max val="50"/>
        </c:scaling>
        <c:delete val="0"/>
        <c:axPos val="l"/>
        <c:majorGridlines/>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ro-MD"/>
          </a:p>
        </c:txPr>
        <c:crossAx val="81288576"/>
        <c:crosses val="autoZero"/>
        <c:crossBetween val="between"/>
      </c:valAx>
    </c:plotArea>
    <c:legend>
      <c:legendPos val="b"/>
      <c:legendEntry>
        <c:idx val="0"/>
        <c:txPr>
          <a:bodyPr/>
          <a:lstStyle/>
          <a:p>
            <a:pPr>
              <a:defRPr sz="900" b="1" i="0" baseline="0">
                <a:solidFill>
                  <a:schemeClr val="tx2"/>
                </a:solidFill>
                <a:latin typeface="Times New Roman" panose="02020603050405020304" pitchFamily="18" charset="0"/>
                <a:cs typeface="Times New Roman" panose="02020603050405020304" pitchFamily="18" charset="0"/>
              </a:defRPr>
            </a:pPr>
            <a:endParaRPr lang="ro-MD"/>
          </a:p>
        </c:txPr>
      </c:legendEntry>
      <c:legendEntry>
        <c:idx val="1"/>
        <c:txPr>
          <a:bodyPr/>
          <a:lstStyle/>
          <a:p>
            <a:pPr>
              <a:defRPr sz="900" b="1" i="0" baseline="0">
                <a:solidFill>
                  <a:srgbClr val="C00000"/>
                </a:solidFill>
                <a:latin typeface="Times New Roman" panose="02020603050405020304" pitchFamily="18" charset="0"/>
                <a:cs typeface="Times New Roman" panose="02020603050405020304" pitchFamily="18" charset="0"/>
              </a:defRPr>
            </a:pPr>
            <a:endParaRPr lang="ro-MD"/>
          </a:p>
        </c:txPr>
      </c:legendEntry>
      <c:overlay val="0"/>
      <c:txPr>
        <a:bodyPr/>
        <a:lstStyle/>
        <a:p>
          <a:pPr>
            <a:defRPr sz="900" baseline="0">
              <a:latin typeface="Times New Roman" panose="02020603050405020304" pitchFamily="18" charset="0"/>
              <a:cs typeface="Times New Roman" panose="02020603050405020304" pitchFamily="18" charset="0"/>
            </a:defRPr>
          </a:pPr>
          <a:endParaRPr lang="ro-MD"/>
        </a:p>
      </c:txPr>
    </c:legend>
    <c:plotVisOnly val="1"/>
    <c:dispBlanksAs val="gap"/>
    <c:showDLblsOverMax val="0"/>
  </c:chart>
  <c:spPr>
    <a:ln>
      <a:solidFill>
        <a:schemeClr val="tx1"/>
      </a:solid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'[lucru raport 2021 (1).xlsx]1-2_Evolutia Indicat.Principali'!$L$2</c:f>
              <c:strCache>
                <c:ptCount val="1"/>
                <c:pt idx="0">
                  <c:v>2022</c:v>
                </c:pt>
              </c:strCache>
            </c:strRef>
          </c:tx>
          <c:invertIfNegative val="0"/>
          <c:dLbls>
            <c:dLbl>
              <c:idx val="0"/>
              <c:layout>
                <c:manualLayout>
                  <c:x val="-1.1785503830288745E-2"/>
                  <c:y val="1.1747430249632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3E7-4DCD-9FD5-CBED4346D564}"/>
                </c:ext>
              </c:extLst>
            </c:dLbl>
            <c:dLbl>
              <c:idx val="1"/>
              <c:layout>
                <c:manualLayout>
                  <c:x val="-8.839127872716613E-3"/>
                  <c:y val="1.76211453744493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3E7-4DCD-9FD5-CBED4346D564}"/>
                </c:ext>
              </c:extLst>
            </c:dLbl>
            <c:dLbl>
              <c:idx val="2"/>
              <c:layout>
                <c:manualLayout>
                  <c:x val="-1.4731879787860931E-2"/>
                  <c:y val="-2.34948604992658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3E7-4DCD-9FD5-CBED4346D564}"/>
                </c:ext>
              </c:extLst>
            </c:dLbl>
            <c:dLbl>
              <c:idx val="4"/>
              <c:layout>
                <c:manualLayout>
                  <c:x val="-8.8391278727166667E-3"/>
                  <c:y val="2.34948604992657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3E7-4DCD-9FD5-CBED4346D564}"/>
                </c:ext>
              </c:extLst>
            </c:dLbl>
            <c:spPr>
              <a:noFill/>
              <a:ln>
                <a:noFill/>
              </a:ln>
              <a:effectLst/>
            </c:spPr>
            <c:txPr>
              <a:bodyPr wrap="square" lIns="38100" tIns="19050" rIns="38100" bIns="19050" anchor="ctr">
                <a:spAutoFit/>
              </a:bodyPr>
              <a:lstStyle/>
              <a:p>
                <a:pPr>
                  <a:defRPr sz="900" b="1" i="0" baseline="0">
                    <a:solidFill>
                      <a:srgbClr val="0070C0"/>
                    </a:solidFill>
                    <a:latin typeface="Times New Roman" panose="02020603050405020304" pitchFamily="18" charset="0"/>
                    <a:cs typeface="Times New Roman" panose="02020603050405020304" pitchFamily="18" charset="0"/>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'[lucru raport 2021 (1).xlsx]1-2_Evolutia Indicat.Principali'!$K$3:$K$7</c:f>
              <c:strCache>
                <c:ptCount val="5"/>
                <c:pt idx="0">
                  <c:v>Total</c:v>
                </c:pt>
                <c:pt idx="1">
                  <c:v>Bărbați</c:v>
                </c:pt>
                <c:pt idx="2">
                  <c:v>Femei </c:v>
                </c:pt>
                <c:pt idx="3">
                  <c:v>Urban</c:v>
                </c:pt>
                <c:pt idx="4">
                  <c:v>Rural</c:v>
                </c:pt>
              </c:strCache>
            </c:strRef>
          </c:cat>
          <c:val>
            <c:numRef>
              <c:f>'[lucru raport 2021 (1).xlsx]1-2_Evolutia Indicat.Principali'!$L$3:$L$7</c:f>
              <c:numCache>
                <c:formatCode>0.0</c:formatCode>
                <c:ptCount val="5"/>
                <c:pt idx="0" formatCode="General">
                  <c:v>40.5</c:v>
                </c:pt>
                <c:pt idx="1">
                  <c:v>44.7</c:v>
                </c:pt>
                <c:pt idx="2">
                  <c:v>36.799999999999997</c:v>
                </c:pt>
                <c:pt idx="3">
                  <c:v>47.3</c:v>
                </c:pt>
                <c:pt idx="4">
                  <c:v>36.1</c:v>
                </c:pt>
              </c:numCache>
            </c:numRef>
          </c:val>
          <c:extLst>
            <c:ext xmlns:c16="http://schemas.microsoft.com/office/drawing/2014/chart" uri="{C3380CC4-5D6E-409C-BE32-E72D297353CC}">
              <c16:uniqueId val="{00000000-B3F7-4DDF-99EF-5D6400967465}"/>
            </c:ext>
          </c:extLst>
        </c:ser>
        <c:ser>
          <c:idx val="1"/>
          <c:order val="1"/>
          <c:tx>
            <c:strRef>
              <c:f>'[lucru raport 2021 (1).xlsx]1-2_Evolutia Indicat.Principali'!$M$2</c:f>
              <c:strCache>
                <c:ptCount val="1"/>
                <c:pt idx="0">
                  <c:v>2023</c:v>
                </c:pt>
              </c:strCache>
            </c:strRef>
          </c:tx>
          <c:invertIfNegative val="0"/>
          <c:dLbls>
            <c:dLbl>
              <c:idx val="1"/>
              <c:layout>
                <c:manualLayout>
                  <c:x val="-5.4016268554946346E-17"/>
                  <c:y val="-5.873715124816446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3E7-4DCD-9FD5-CBED4346D564}"/>
                </c:ext>
              </c:extLst>
            </c:dLbl>
            <c:dLbl>
              <c:idx val="2"/>
              <c:layout>
                <c:manualLayout>
                  <c:x val="-1.0803253710989269E-16"/>
                  <c:y val="1.76211453744493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3E7-4DCD-9FD5-CBED4346D564}"/>
                </c:ext>
              </c:extLst>
            </c:dLbl>
            <c:spPr>
              <a:noFill/>
              <a:ln>
                <a:noFill/>
              </a:ln>
              <a:effectLst/>
            </c:spPr>
            <c:txPr>
              <a:bodyPr wrap="square" lIns="38100" tIns="19050" rIns="38100" bIns="19050" anchor="ctr">
                <a:spAutoFit/>
              </a:bodyPr>
              <a:lstStyle/>
              <a:p>
                <a:pPr>
                  <a:defRPr sz="900" b="1" i="0" baseline="0">
                    <a:solidFill>
                      <a:srgbClr val="C00000"/>
                    </a:solidFill>
                    <a:latin typeface="Times New Roman" panose="02020603050405020304" pitchFamily="18" charset="0"/>
                    <a:cs typeface="Times New Roman" panose="02020603050405020304" pitchFamily="18" charset="0"/>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'[lucru raport 2021 (1).xlsx]1-2_Evolutia Indicat.Principali'!$K$3:$K$7</c:f>
              <c:strCache>
                <c:ptCount val="5"/>
                <c:pt idx="0">
                  <c:v>Total</c:v>
                </c:pt>
                <c:pt idx="1">
                  <c:v>Bărbați</c:v>
                </c:pt>
                <c:pt idx="2">
                  <c:v>Femei </c:v>
                </c:pt>
                <c:pt idx="3">
                  <c:v>Urban</c:v>
                </c:pt>
                <c:pt idx="4">
                  <c:v>Rural</c:v>
                </c:pt>
              </c:strCache>
            </c:strRef>
          </c:cat>
          <c:val>
            <c:numRef>
              <c:f>'[lucru raport 2021 (1).xlsx]1-2_Evolutia Indicat.Principali'!$M$3:$M$7</c:f>
              <c:numCache>
                <c:formatCode>General</c:formatCode>
                <c:ptCount val="5"/>
                <c:pt idx="0">
                  <c:v>43.1</c:v>
                </c:pt>
                <c:pt idx="1">
                  <c:v>47.1</c:v>
                </c:pt>
                <c:pt idx="2" formatCode="0.0">
                  <c:v>39.700000000000003</c:v>
                </c:pt>
                <c:pt idx="3" formatCode="0.0">
                  <c:v>47.4</c:v>
                </c:pt>
                <c:pt idx="4" formatCode="0.0">
                  <c:v>39.9</c:v>
                </c:pt>
              </c:numCache>
            </c:numRef>
          </c:val>
          <c:extLst>
            <c:ext xmlns:c16="http://schemas.microsoft.com/office/drawing/2014/chart" uri="{C3380CC4-5D6E-409C-BE32-E72D297353CC}">
              <c16:uniqueId val="{00000001-B3F7-4DDF-99EF-5D6400967465}"/>
            </c:ext>
          </c:extLst>
        </c:ser>
        <c:dLbls>
          <c:showLegendKey val="0"/>
          <c:showVal val="0"/>
          <c:showCatName val="0"/>
          <c:showSerName val="0"/>
          <c:showPercent val="0"/>
          <c:showBubbleSize val="0"/>
        </c:dLbls>
        <c:gapWidth val="150"/>
        <c:axId val="81288576"/>
        <c:axId val="81306752"/>
      </c:barChart>
      <c:catAx>
        <c:axId val="81288576"/>
        <c:scaling>
          <c:orientation val="minMax"/>
        </c:scaling>
        <c:delete val="0"/>
        <c:axPos val="b"/>
        <c:numFmt formatCode="General" sourceLinked="0"/>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ro-MD"/>
          </a:p>
        </c:txPr>
        <c:crossAx val="81306752"/>
        <c:crosses val="autoZero"/>
        <c:auto val="1"/>
        <c:lblAlgn val="ctr"/>
        <c:lblOffset val="100"/>
        <c:noMultiLvlLbl val="0"/>
      </c:catAx>
      <c:valAx>
        <c:axId val="81306752"/>
        <c:scaling>
          <c:orientation val="minMax"/>
          <c:max val="50"/>
        </c:scaling>
        <c:delete val="0"/>
        <c:axPos val="l"/>
        <c:majorGridlines/>
        <c:numFmt formatCode="General" sourceLinked="1"/>
        <c:majorTickMark val="out"/>
        <c:minorTickMark val="none"/>
        <c:tickLblPos val="nextTo"/>
        <c:txPr>
          <a:bodyPr/>
          <a:lstStyle/>
          <a:p>
            <a:pPr>
              <a:defRPr sz="800" b="1" i="0" baseline="0">
                <a:latin typeface="Times New Roman" panose="02020603050405020304" pitchFamily="18" charset="0"/>
                <a:cs typeface="Times New Roman" panose="02020603050405020304" pitchFamily="18" charset="0"/>
              </a:defRPr>
            </a:pPr>
            <a:endParaRPr lang="ro-MD"/>
          </a:p>
        </c:txPr>
        <c:crossAx val="81288576"/>
        <c:crosses val="autoZero"/>
        <c:crossBetween val="between"/>
      </c:valAx>
    </c:plotArea>
    <c:legend>
      <c:legendPos val="b"/>
      <c:legendEntry>
        <c:idx val="1"/>
        <c:txPr>
          <a:bodyPr/>
          <a:lstStyle/>
          <a:p>
            <a:pPr>
              <a:defRPr sz="900" b="1" i="0" baseline="0">
                <a:solidFill>
                  <a:srgbClr val="C00000"/>
                </a:solidFill>
                <a:latin typeface="Times New Roman" panose="02020603050405020304" pitchFamily="18" charset="0"/>
              </a:defRPr>
            </a:pPr>
            <a:endParaRPr lang="ro-MD"/>
          </a:p>
        </c:txPr>
      </c:legendEntry>
      <c:overlay val="0"/>
      <c:txPr>
        <a:bodyPr/>
        <a:lstStyle/>
        <a:p>
          <a:pPr>
            <a:defRPr sz="900" b="1" i="0" baseline="0">
              <a:solidFill>
                <a:schemeClr val="tx2"/>
              </a:solidFill>
              <a:latin typeface="Times New Roman" panose="02020603050405020304" pitchFamily="18" charset="0"/>
            </a:defRPr>
          </a:pPr>
          <a:endParaRPr lang="ro-MD"/>
        </a:p>
      </c:txPr>
    </c:legend>
    <c:plotVisOnly val="1"/>
    <c:dispBlanksAs val="gap"/>
    <c:showDLblsOverMax val="0"/>
  </c:chart>
  <c:spPr>
    <a:ln w="9525">
      <a:solidFill>
        <a:schemeClr val="tx1"/>
      </a:solid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'[lucru raport 2021 (1).xlsx]5_Ind Princ_Grupe de varsta'!$J$6</c:f>
              <c:strCache>
                <c:ptCount val="1"/>
                <c:pt idx="0">
                  <c:v>Bărbați</c:v>
                </c:pt>
              </c:strCache>
            </c:strRef>
          </c:tx>
          <c:invertIfNegative val="0"/>
          <c:dLbls>
            <c:dLbl>
              <c:idx val="0"/>
              <c:layout>
                <c:manualLayout>
                  <c:x val="-1.6834822357712386E-17"/>
                  <c:y val="1.50375939849624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6AF-47E2-9C17-619D5E11B0C5}"/>
                </c:ext>
              </c:extLst>
            </c:dLbl>
            <c:dLbl>
              <c:idx val="1"/>
              <c:layout>
                <c:manualLayout>
                  <c:x val="0"/>
                  <c:y val="1.80995475113122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6AF-47E2-9C17-619D5E11B0C5}"/>
                </c:ext>
              </c:extLst>
            </c:dLbl>
            <c:dLbl>
              <c:idx val="2"/>
              <c:layout>
                <c:manualLayout>
                  <c:x val="0"/>
                  <c:y val="1.80995475113122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6AF-47E2-9C17-619D5E11B0C5}"/>
                </c:ext>
              </c:extLst>
            </c:dLbl>
            <c:dLbl>
              <c:idx val="3"/>
              <c:layout>
                <c:manualLayout>
                  <c:x val="-1.277955271565503E-2"/>
                  <c:y val="3.01659125188536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6AF-47E2-9C17-619D5E11B0C5}"/>
                </c:ext>
              </c:extLst>
            </c:dLbl>
            <c:dLbl>
              <c:idx val="4"/>
              <c:layout>
                <c:manualLayout>
                  <c:x val="-8.5197018104366355E-3"/>
                  <c:y val="2.41327300150829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6AF-47E2-9C17-619D5E11B0C5}"/>
                </c:ext>
              </c:extLst>
            </c:dLbl>
            <c:dLbl>
              <c:idx val="5"/>
              <c:layout>
                <c:manualLayout>
                  <c:x val="0"/>
                  <c:y val="2.41327300150829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6AF-47E2-9C17-619D5E11B0C5}"/>
                </c:ext>
              </c:extLst>
            </c:dLbl>
            <c:spPr>
              <a:noFill/>
              <a:ln>
                <a:noFill/>
              </a:ln>
              <a:effectLst/>
            </c:spPr>
            <c:txPr>
              <a:bodyPr wrap="square" lIns="38100" tIns="19050" rIns="38100" bIns="19050" anchor="ctr">
                <a:spAutoFit/>
              </a:bodyPr>
              <a:lstStyle/>
              <a:p>
                <a:pPr>
                  <a:defRPr sz="700" b="1" i="0" baseline="0">
                    <a:solidFill>
                      <a:srgbClr val="0070C0"/>
                    </a:solidFill>
                    <a:latin typeface="Times New Roman" panose="02020603050405020304" pitchFamily="18" charset="0"/>
                    <a:cs typeface="Times New Roman" panose="02020603050405020304" pitchFamily="18" charset="0"/>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'[lucru raport 2021 (1).xlsx]5_Ind Princ_Grupe de varsta'!$I$7:$I$12</c:f>
              <c:strCache>
                <c:ptCount val="6"/>
                <c:pt idx="0">
                  <c:v>15-24 ani</c:v>
                </c:pt>
                <c:pt idx="1">
                  <c:v>25-34 ani</c:v>
                </c:pt>
                <c:pt idx="2">
                  <c:v>35-44 ani</c:v>
                </c:pt>
                <c:pt idx="3">
                  <c:v>45-54 ani</c:v>
                </c:pt>
                <c:pt idx="4">
                  <c:v>55-64 ani</c:v>
                </c:pt>
                <c:pt idx="5">
                  <c:v>65 ani si peste</c:v>
                </c:pt>
              </c:strCache>
            </c:strRef>
          </c:cat>
          <c:val>
            <c:numRef>
              <c:f>'[lucru raport 2021 (1).xlsx]5_Ind Princ_Grupe de varsta'!$J$7:$J$12</c:f>
              <c:numCache>
                <c:formatCode>0.0</c:formatCode>
                <c:ptCount val="6"/>
                <c:pt idx="0">
                  <c:v>21.3</c:v>
                </c:pt>
                <c:pt idx="1">
                  <c:v>60</c:v>
                </c:pt>
                <c:pt idx="2">
                  <c:v>63.6</c:v>
                </c:pt>
                <c:pt idx="3">
                  <c:v>64</c:v>
                </c:pt>
                <c:pt idx="4">
                  <c:v>54.7</c:v>
                </c:pt>
                <c:pt idx="5">
                  <c:v>10.3</c:v>
                </c:pt>
              </c:numCache>
            </c:numRef>
          </c:val>
          <c:extLst>
            <c:ext xmlns:c16="http://schemas.microsoft.com/office/drawing/2014/chart" uri="{C3380CC4-5D6E-409C-BE32-E72D297353CC}">
              <c16:uniqueId val="{00000006-06AF-47E2-9C17-619D5E11B0C5}"/>
            </c:ext>
          </c:extLst>
        </c:ser>
        <c:ser>
          <c:idx val="1"/>
          <c:order val="1"/>
          <c:tx>
            <c:strRef>
              <c:f>'[lucru raport 2021 (1).xlsx]5_Ind Princ_Grupe de varsta'!$K$6</c:f>
              <c:strCache>
                <c:ptCount val="1"/>
                <c:pt idx="0">
                  <c:v>Femei</c:v>
                </c:pt>
              </c:strCache>
            </c:strRef>
          </c:tx>
          <c:invertIfNegative val="0"/>
          <c:dLbls>
            <c:dLbl>
              <c:idx val="0"/>
              <c:layout>
                <c:manualLayout>
                  <c:x val="2.5559105431309903E-2"/>
                  <c:y val="-1.20663650075414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6AF-47E2-9C17-619D5E11B0C5}"/>
                </c:ext>
              </c:extLst>
            </c:dLbl>
            <c:dLbl>
              <c:idx val="1"/>
              <c:layout>
                <c:manualLayout>
                  <c:x val="1.703940362087330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0F8-47A2-9114-D56C5E2C26A6}"/>
                </c:ext>
              </c:extLst>
            </c:dLbl>
            <c:dLbl>
              <c:idx val="2"/>
              <c:layout>
                <c:manualLayout>
                  <c:x val="2.5559105431309903E-2"/>
                  <c:y val="2.41327300150829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6AF-47E2-9C17-619D5E11B0C5}"/>
                </c:ext>
              </c:extLst>
            </c:dLbl>
            <c:dLbl>
              <c:idx val="3"/>
              <c:layout>
                <c:manualLayout>
                  <c:x val="4.259850905218238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6AF-47E2-9C17-619D5E11B0C5}"/>
                </c:ext>
              </c:extLst>
            </c:dLbl>
            <c:dLbl>
              <c:idx val="4"/>
              <c:layout>
                <c:manualLayout>
                  <c:x val="1.2779552715654952E-2"/>
                  <c:y val="1.20663650075414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0F8-47A2-9114-D56C5E2C26A6}"/>
                </c:ext>
              </c:extLst>
            </c:dLbl>
            <c:dLbl>
              <c:idx val="5"/>
              <c:layout>
                <c:manualLayout>
                  <c:x val="1.2779552715654952E-2"/>
                  <c:y val="3.01659125188536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6AF-47E2-9C17-619D5E11B0C5}"/>
                </c:ext>
              </c:extLst>
            </c:dLbl>
            <c:spPr>
              <a:noFill/>
              <a:ln>
                <a:noFill/>
              </a:ln>
              <a:effectLst/>
            </c:spPr>
            <c:txPr>
              <a:bodyPr wrap="square" lIns="38100" tIns="19050" rIns="38100" bIns="19050" anchor="ctr">
                <a:spAutoFit/>
              </a:bodyPr>
              <a:lstStyle/>
              <a:p>
                <a:pPr>
                  <a:defRPr sz="700" b="1" i="0" baseline="0">
                    <a:solidFill>
                      <a:srgbClr val="C00000"/>
                    </a:solidFill>
                    <a:latin typeface="Times New Roman" panose="02020603050405020304" pitchFamily="18" charset="0"/>
                    <a:cs typeface="Times New Roman" panose="02020603050405020304" pitchFamily="18" charset="0"/>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'[lucru raport 2021 (1).xlsx]5_Ind Princ_Grupe de varsta'!$I$7:$I$12</c:f>
              <c:strCache>
                <c:ptCount val="6"/>
                <c:pt idx="0">
                  <c:v>15-24 ani</c:v>
                </c:pt>
                <c:pt idx="1">
                  <c:v>25-34 ani</c:v>
                </c:pt>
                <c:pt idx="2">
                  <c:v>35-44 ani</c:v>
                </c:pt>
                <c:pt idx="3">
                  <c:v>45-54 ani</c:v>
                </c:pt>
                <c:pt idx="4">
                  <c:v>55-64 ani</c:v>
                </c:pt>
                <c:pt idx="5">
                  <c:v>65 ani si peste</c:v>
                </c:pt>
              </c:strCache>
            </c:strRef>
          </c:cat>
          <c:val>
            <c:numRef>
              <c:f>'[lucru raport 2021 (1).xlsx]5_Ind Princ_Grupe de varsta'!$K$7:$K$12</c:f>
              <c:numCache>
                <c:formatCode>0.0</c:formatCode>
                <c:ptCount val="6"/>
                <c:pt idx="0">
                  <c:v>16.2</c:v>
                </c:pt>
                <c:pt idx="1">
                  <c:v>47.7</c:v>
                </c:pt>
                <c:pt idx="2">
                  <c:v>64</c:v>
                </c:pt>
                <c:pt idx="3">
                  <c:v>68.599999999999994</c:v>
                </c:pt>
                <c:pt idx="4">
                  <c:v>40.9</c:v>
                </c:pt>
                <c:pt idx="5">
                  <c:v>5.2</c:v>
                </c:pt>
              </c:numCache>
            </c:numRef>
          </c:val>
          <c:extLst>
            <c:ext xmlns:c16="http://schemas.microsoft.com/office/drawing/2014/chart" uri="{C3380CC4-5D6E-409C-BE32-E72D297353CC}">
              <c16:uniqueId val="{0000000B-06AF-47E2-9C17-619D5E11B0C5}"/>
            </c:ext>
          </c:extLst>
        </c:ser>
        <c:dLbls>
          <c:showLegendKey val="0"/>
          <c:showVal val="0"/>
          <c:showCatName val="0"/>
          <c:showSerName val="0"/>
          <c:showPercent val="0"/>
          <c:showBubbleSize val="0"/>
        </c:dLbls>
        <c:gapWidth val="150"/>
        <c:axId val="90310144"/>
        <c:axId val="90311680"/>
      </c:barChart>
      <c:catAx>
        <c:axId val="90310144"/>
        <c:scaling>
          <c:orientation val="minMax"/>
        </c:scaling>
        <c:delete val="0"/>
        <c:axPos val="b"/>
        <c:numFmt formatCode="General" sourceLinked="0"/>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ro-MD"/>
          </a:p>
        </c:txPr>
        <c:crossAx val="90311680"/>
        <c:crosses val="autoZero"/>
        <c:auto val="1"/>
        <c:lblAlgn val="ctr"/>
        <c:lblOffset val="100"/>
        <c:noMultiLvlLbl val="0"/>
      </c:catAx>
      <c:valAx>
        <c:axId val="90311680"/>
        <c:scaling>
          <c:orientation val="minMax"/>
          <c:max val="70"/>
        </c:scaling>
        <c:delete val="0"/>
        <c:axPos val="l"/>
        <c:majorGridlines/>
        <c:numFmt formatCode="0.0" sourceLinked="1"/>
        <c:majorTickMark val="out"/>
        <c:minorTickMark val="none"/>
        <c:tickLblPos val="nextTo"/>
        <c:spPr>
          <a:ln w="12700"/>
        </c:spPr>
        <c:txPr>
          <a:bodyPr/>
          <a:lstStyle/>
          <a:p>
            <a:pPr>
              <a:defRPr sz="800">
                <a:latin typeface="Times New Roman" panose="02020603050405020304" pitchFamily="18" charset="0"/>
                <a:cs typeface="Times New Roman" panose="02020603050405020304" pitchFamily="18" charset="0"/>
              </a:defRPr>
            </a:pPr>
            <a:endParaRPr lang="ro-MD"/>
          </a:p>
        </c:txPr>
        <c:crossAx val="90310144"/>
        <c:crosses val="autoZero"/>
        <c:crossBetween val="between"/>
      </c:valAx>
    </c:plotArea>
    <c:legend>
      <c:legendPos val="b"/>
      <c:legendEntry>
        <c:idx val="0"/>
        <c:txPr>
          <a:bodyPr/>
          <a:lstStyle/>
          <a:p>
            <a:pPr>
              <a:defRPr sz="800" b="1" i="0" baseline="0">
                <a:solidFill>
                  <a:schemeClr val="tx2"/>
                </a:solidFill>
                <a:latin typeface="Times New Roman" panose="02020603050405020304" pitchFamily="18" charset="0"/>
                <a:cs typeface="Times New Roman" panose="02020603050405020304" pitchFamily="18" charset="0"/>
              </a:defRPr>
            </a:pPr>
            <a:endParaRPr lang="ro-MD"/>
          </a:p>
        </c:txPr>
      </c:legendEntry>
      <c:legendEntry>
        <c:idx val="1"/>
        <c:txPr>
          <a:bodyPr/>
          <a:lstStyle/>
          <a:p>
            <a:pPr>
              <a:defRPr sz="800" b="1" i="0" baseline="0">
                <a:solidFill>
                  <a:srgbClr val="C00000"/>
                </a:solidFill>
                <a:latin typeface="Times New Roman" panose="02020603050405020304" pitchFamily="18" charset="0"/>
                <a:cs typeface="Times New Roman" panose="02020603050405020304" pitchFamily="18" charset="0"/>
              </a:defRPr>
            </a:pPr>
            <a:endParaRPr lang="ro-MD"/>
          </a:p>
        </c:txPr>
      </c:legendEntry>
      <c:overlay val="0"/>
      <c:txPr>
        <a:bodyPr/>
        <a:lstStyle/>
        <a:p>
          <a:pPr>
            <a:defRPr sz="800">
              <a:latin typeface="Times New Roman" panose="02020603050405020304" pitchFamily="18" charset="0"/>
              <a:cs typeface="Times New Roman" panose="02020603050405020304" pitchFamily="18" charset="0"/>
            </a:defRPr>
          </a:pPr>
          <a:endParaRPr lang="ro-MD"/>
        </a:p>
      </c:txPr>
    </c:legend>
    <c:plotVisOnly val="1"/>
    <c:dispBlanksAs val="gap"/>
    <c:showDLblsOverMax val="0"/>
  </c:chart>
  <c:spPr>
    <a:ln w="9525">
      <a:solidFill>
        <a:schemeClr val="tx1"/>
      </a:solid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'[lucru raport 2021 final.xlsx]5_Ind Princ_Grupe de varsta'!$N$6</c:f>
              <c:strCache>
                <c:ptCount val="1"/>
                <c:pt idx="0">
                  <c:v>Urban</c:v>
                </c:pt>
              </c:strCache>
            </c:strRef>
          </c:tx>
          <c:invertIfNegative val="0"/>
          <c:dLbls>
            <c:dLbl>
              <c:idx val="1"/>
              <c:layout>
                <c:manualLayout>
                  <c:x val="0"/>
                  <c:y val="2.43531202435312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DA9-4A10-9215-27E60FC04689}"/>
                </c:ext>
              </c:extLst>
            </c:dLbl>
            <c:spPr>
              <a:noFill/>
              <a:ln>
                <a:noFill/>
              </a:ln>
              <a:effectLst/>
            </c:spPr>
            <c:txPr>
              <a:bodyPr wrap="square" lIns="38100" tIns="19050" rIns="38100" bIns="19050" anchor="ctr">
                <a:spAutoFit/>
              </a:bodyPr>
              <a:lstStyle/>
              <a:p>
                <a:pPr>
                  <a:defRPr sz="700" b="1" i="0" baseline="0">
                    <a:solidFill>
                      <a:srgbClr val="0070C0"/>
                    </a:solidFill>
                    <a:latin typeface="Times New Roman" panose="02020603050405020304" pitchFamily="18" charset="0"/>
                    <a:cs typeface="Times New Roman" panose="02020603050405020304" pitchFamily="18" charset="0"/>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'[lucru raport 2021 final.xlsx]5_Ind Princ_Grupe de varsta'!$M$7:$M$12</c:f>
              <c:strCache>
                <c:ptCount val="6"/>
                <c:pt idx="0">
                  <c:v>15-24 ani</c:v>
                </c:pt>
                <c:pt idx="1">
                  <c:v>25-34 ani</c:v>
                </c:pt>
                <c:pt idx="2">
                  <c:v>35-44 ani</c:v>
                </c:pt>
                <c:pt idx="3">
                  <c:v>45-54 ani</c:v>
                </c:pt>
                <c:pt idx="4">
                  <c:v>55-64 ani</c:v>
                </c:pt>
                <c:pt idx="5">
                  <c:v>65 ani si peste</c:v>
                </c:pt>
              </c:strCache>
            </c:strRef>
          </c:cat>
          <c:val>
            <c:numRef>
              <c:f>'[lucru raport 2021 final.xlsx]5_Ind Princ_Grupe de varsta'!$N$7:$N$12</c:f>
              <c:numCache>
                <c:formatCode>0.0</c:formatCode>
                <c:ptCount val="6"/>
                <c:pt idx="0">
                  <c:v>19</c:v>
                </c:pt>
                <c:pt idx="1">
                  <c:v>61.7</c:v>
                </c:pt>
                <c:pt idx="2">
                  <c:v>66.8</c:v>
                </c:pt>
                <c:pt idx="3">
                  <c:v>69.099999999999994</c:v>
                </c:pt>
                <c:pt idx="4">
                  <c:v>46.6</c:v>
                </c:pt>
                <c:pt idx="5">
                  <c:v>7.6</c:v>
                </c:pt>
              </c:numCache>
            </c:numRef>
          </c:val>
          <c:extLst>
            <c:ext xmlns:c16="http://schemas.microsoft.com/office/drawing/2014/chart" uri="{C3380CC4-5D6E-409C-BE32-E72D297353CC}">
              <c16:uniqueId val="{00000000-E8D1-4F6F-B830-24FEB998FBFA}"/>
            </c:ext>
          </c:extLst>
        </c:ser>
        <c:ser>
          <c:idx val="1"/>
          <c:order val="1"/>
          <c:tx>
            <c:strRef>
              <c:f>'[lucru raport 2021 final.xlsx]5_Ind Princ_Grupe de varsta'!$O$6</c:f>
              <c:strCache>
                <c:ptCount val="1"/>
                <c:pt idx="0">
                  <c:v>Rural</c:v>
                </c:pt>
              </c:strCache>
            </c:strRef>
          </c:tx>
          <c:invertIfNegative val="0"/>
          <c:dLbls>
            <c:dLbl>
              <c:idx val="0"/>
              <c:layout>
                <c:manualLayout>
                  <c:x val="1.6460905349794202E-2"/>
                  <c:y val="2.4353120243531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8D1-4F6F-B830-24FEB998FBFA}"/>
                </c:ext>
              </c:extLst>
            </c:dLbl>
            <c:dLbl>
              <c:idx val="1"/>
              <c:layout>
                <c:manualLayout>
                  <c:x val="1.2345679012345716E-2"/>
                  <c:y val="2.43531202435312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8D1-4F6F-B830-24FEB998FBFA}"/>
                </c:ext>
              </c:extLst>
            </c:dLbl>
            <c:dLbl>
              <c:idx val="2"/>
              <c:layout>
                <c:manualLayout>
                  <c:x val="1.6460905349794164E-2"/>
                  <c:y val="1.82648401826483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8D1-4F6F-B830-24FEB998FBFA}"/>
                </c:ext>
              </c:extLst>
            </c:dLbl>
            <c:dLbl>
              <c:idx val="3"/>
              <c:layout>
                <c:manualLayout>
                  <c:x val="2.4691358024691433E-2"/>
                  <c:y val="1.21765601217656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8D1-4F6F-B830-24FEB998FBFA}"/>
                </c:ext>
              </c:extLst>
            </c:dLbl>
            <c:dLbl>
              <c:idx val="4"/>
              <c:layout>
                <c:manualLayout>
                  <c:x val="1.646090534979424E-2"/>
                  <c:y val="1.82648401826484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8D1-4F6F-B830-24FEB998FBFA}"/>
                </c:ext>
              </c:extLst>
            </c:dLbl>
            <c:dLbl>
              <c:idx val="5"/>
              <c:layout>
                <c:manualLayout>
                  <c:x val="2.0576131687242798E-2"/>
                  <c:y val="2.43531202435312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8D1-4F6F-B830-24FEB998FBFA}"/>
                </c:ext>
              </c:extLst>
            </c:dLbl>
            <c:spPr>
              <a:noFill/>
              <a:ln>
                <a:noFill/>
              </a:ln>
              <a:effectLst/>
            </c:spPr>
            <c:txPr>
              <a:bodyPr wrap="square" lIns="38100" tIns="19050" rIns="38100" bIns="19050" anchor="ctr">
                <a:spAutoFit/>
              </a:bodyPr>
              <a:lstStyle/>
              <a:p>
                <a:pPr>
                  <a:defRPr sz="700" b="1" i="0" baseline="0">
                    <a:solidFill>
                      <a:srgbClr val="C00000"/>
                    </a:solidFill>
                    <a:latin typeface="Times New Roman" panose="02020603050405020304" pitchFamily="18" charset="0"/>
                    <a:cs typeface="Times New Roman" panose="02020603050405020304" pitchFamily="18" charset="0"/>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'[lucru raport 2021 final.xlsx]5_Ind Princ_Grupe de varsta'!$M$7:$M$12</c:f>
              <c:strCache>
                <c:ptCount val="6"/>
                <c:pt idx="0">
                  <c:v>15-24 ani</c:v>
                </c:pt>
                <c:pt idx="1">
                  <c:v>25-34 ani</c:v>
                </c:pt>
                <c:pt idx="2">
                  <c:v>35-44 ani</c:v>
                </c:pt>
                <c:pt idx="3">
                  <c:v>45-54 ani</c:v>
                </c:pt>
                <c:pt idx="4">
                  <c:v>55-64 ani</c:v>
                </c:pt>
                <c:pt idx="5">
                  <c:v>65 ani si peste</c:v>
                </c:pt>
              </c:strCache>
            </c:strRef>
          </c:cat>
          <c:val>
            <c:numRef>
              <c:f>'[lucru raport 2021 final.xlsx]5_Ind Princ_Grupe de varsta'!$O$7:$O$12</c:f>
              <c:numCache>
                <c:formatCode>0.0</c:formatCode>
                <c:ptCount val="6"/>
                <c:pt idx="0">
                  <c:v>13.6</c:v>
                </c:pt>
                <c:pt idx="1">
                  <c:v>42.7</c:v>
                </c:pt>
                <c:pt idx="2">
                  <c:v>53.6</c:v>
                </c:pt>
                <c:pt idx="3">
                  <c:v>58.3</c:v>
                </c:pt>
                <c:pt idx="4">
                  <c:v>42.9</c:v>
                </c:pt>
                <c:pt idx="5">
                  <c:v>4.8</c:v>
                </c:pt>
              </c:numCache>
            </c:numRef>
          </c:val>
          <c:extLst>
            <c:ext xmlns:c16="http://schemas.microsoft.com/office/drawing/2014/chart" uri="{C3380CC4-5D6E-409C-BE32-E72D297353CC}">
              <c16:uniqueId val="{00000007-E8D1-4F6F-B830-24FEB998FBFA}"/>
            </c:ext>
          </c:extLst>
        </c:ser>
        <c:dLbls>
          <c:showLegendKey val="0"/>
          <c:showVal val="0"/>
          <c:showCatName val="0"/>
          <c:showSerName val="0"/>
          <c:showPercent val="0"/>
          <c:showBubbleSize val="0"/>
        </c:dLbls>
        <c:gapWidth val="150"/>
        <c:axId val="96454144"/>
        <c:axId val="96455680"/>
      </c:barChart>
      <c:catAx>
        <c:axId val="96454144"/>
        <c:scaling>
          <c:orientation val="minMax"/>
        </c:scaling>
        <c:delete val="0"/>
        <c:axPos val="b"/>
        <c:numFmt formatCode="General" sourceLinked="0"/>
        <c:majorTickMark val="out"/>
        <c:minorTickMark val="none"/>
        <c:tickLblPos val="nextTo"/>
        <c:txPr>
          <a:bodyPr/>
          <a:lstStyle/>
          <a:p>
            <a:pPr>
              <a:defRPr sz="700">
                <a:latin typeface="Times New Roman" panose="02020603050405020304" pitchFamily="18" charset="0"/>
                <a:cs typeface="Times New Roman" panose="02020603050405020304" pitchFamily="18" charset="0"/>
              </a:defRPr>
            </a:pPr>
            <a:endParaRPr lang="ro-MD"/>
          </a:p>
        </c:txPr>
        <c:crossAx val="96455680"/>
        <c:crosses val="autoZero"/>
        <c:auto val="1"/>
        <c:lblAlgn val="ctr"/>
        <c:lblOffset val="100"/>
        <c:noMultiLvlLbl val="0"/>
      </c:catAx>
      <c:valAx>
        <c:axId val="96455680"/>
        <c:scaling>
          <c:orientation val="minMax"/>
        </c:scaling>
        <c:delete val="0"/>
        <c:axPos val="l"/>
        <c:majorGridlines/>
        <c:numFmt formatCode="0.0" sourceLinked="1"/>
        <c:majorTickMark val="out"/>
        <c:minorTickMark val="none"/>
        <c:tickLblPos val="nextTo"/>
        <c:txPr>
          <a:bodyPr/>
          <a:lstStyle/>
          <a:p>
            <a:pPr>
              <a:defRPr sz="700">
                <a:latin typeface="Times New Roman" panose="02020603050405020304" pitchFamily="18" charset="0"/>
                <a:cs typeface="Times New Roman" panose="02020603050405020304" pitchFamily="18" charset="0"/>
              </a:defRPr>
            </a:pPr>
            <a:endParaRPr lang="ro-MD"/>
          </a:p>
        </c:txPr>
        <c:crossAx val="96454144"/>
        <c:crosses val="autoZero"/>
        <c:crossBetween val="between"/>
      </c:valAx>
    </c:plotArea>
    <c:legend>
      <c:legendPos val="b"/>
      <c:legendEntry>
        <c:idx val="0"/>
        <c:txPr>
          <a:bodyPr/>
          <a:lstStyle/>
          <a:p>
            <a:pPr>
              <a:defRPr sz="700" b="1" i="0" baseline="0">
                <a:solidFill>
                  <a:schemeClr val="tx2"/>
                </a:solidFill>
                <a:latin typeface="Times New Roman" panose="02020603050405020304" pitchFamily="18" charset="0"/>
                <a:cs typeface="Times New Roman" panose="02020603050405020304" pitchFamily="18" charset="0"/>
              </a:defRPr>
            </a:pPr>
            <a:endParaRPr lang="ro-MD"/>
          </a:p>
        </c:txPr>
      </c:legendEntry>
      <c:legendEntry>
        <c:idx val="1"/>
        <c:txPr>
          <a:bodyPr/>
          <a:lstStyle/>
          <a:p>
            <a:pPr>
              <a:defRPr sz="700" b="1" i="0" baseline="0">
                <a:solidFill>
                  <a:srgbClr val="C00000"/>
                </a:solidFill>
                <a:latin typeface="Times New Roman" panose="02020603050405020304" pitchFamily="18" charset="0"/>
                <a:cs typeface="Times New Roman" panose="02020603050405020304" pitchFamily="18" charset="0"/>
              </a:defRPr>
            </a:pPr>
            <a:endParaRPr lang="ro-MD"/>
          </a:p>
        </c:txPr>
      </c:legendEntry>
      <c:overlay val="0"/>
      <c:txPr>
        <a:bodyPr/>
        <a:lstStyle/>
        <a:p>
          <a:pPr>
            <a:defRPr sz="700">
              <a:latin typeface="Times New Roman" panose="02020603050405020304" pitchFamily="18" charset="0"/>
              <a:cs typeface="Times New Roman" panose="02020603050405020304" pitchFamily="18" charset="0"/>
            </a:defRPr>
          </a:pPr>
          <a:endParaRPr lang="ro-MD"/>
        </a:p>
      </c:txPr>
    </c:legend>
    <c:plotVisOnly val="1"/>
    <c:dispBlanksAs val="gap"/>
    <c:showDLblsOverMax val="0"/>
  </c:chart>
  <c:spPr>
    <a:ln w="6350">
      <a:solidFill>
        <a:schemeClr val="tx1"/>
      </a:solidFill>
    </a:ln>
  </c:sp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'[lucru raport 2023 (1).xlsx]6_PO_Activitati economice'!$B$74</c:f>
              <c:strCache>
                <c:ptCount val="1"/>
                <c:pt idx="0">
                  <c:v>2022</c:v>
                </c:pt>
              </c:strCache>
            </c:strRef>
          </c:tx>
          <c:invertIfNegative val="0"/>
          <c:dLbls>
            <c:dLbl>
              <c:idx val="1"/>
              <c:layout>
                <c:manualLayout>
                  <c:x val="-4.4296788482834993E-3"/>
                  <c:y val="1.63265306122448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00A-4893-A2CC-3896D6E6F3B0}"/>
                </c:ext>
              </c:extLst>
            </c:dLbl>
            <c:dLbl>
              <c:idx val="2"/>
              <c:layout>
                <c:manualLayout>
                  <c:x val="-8.8593576965669985E-3"/>
                  <c:y val="-1.63265306122448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00A-4893-A2CC-3896D6E6F3B0}"/>
                </c:ext>
              </c:extLst>
            </c:dLbl>
            <c:spPr>
              <a:noFill/>
              <a:ln>
                <a:noFill/>
              </a:ln>
              <a:effectLst/>
            </c:spPr>
            <c:txPr>
              <a:bodyPr wrap="square" lIns="38100" tIns="19050" rIns="38100" bIns="19050" anchor="ctr">
                <a:spAutoFit/>
              </a:bodyPr>
              <a:lstStyle/>
              <a:p>
                <a:pPr>
                  <a:defRPr sz="700" b="1" i="0" baseline="0">
                    <a:solidFill>
                      <a:srgbClr val="0070C0"/>
                    </a:solidFill>
                    <a:latin typeface="Times New Roman" panose="02020603050405020304" pitchFamily="18" charset="0"/>
                    <a:cs typeface="Times New Roman" panose="02020603050405020304" pitchFamily="18" charset="0"/>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'[lucru raport 2023 (1).xlsx]6_PO_Activitati economice'!$A$75:$A$78</c:f>
              <c:strCache>
                <c:ptCount val="4"/>
                <c:pt idx="0">
                  <c:v>Agricultură, silvicultură şi pescuit</c:v>
                </c:pt>
                <c:pt idx="1">
                  <c:v>Industrie</c:v>
                </c:pt>
                <c:pt idx="2">
                  <c:v>Construcţii</c:v>
                </c:pt>
                <c:pt idx="3">
                  <c:v>Servicii</c:v>
                </c:pt>
              </c:strCache>
            </c:strRef>
          </c:cat>
          <c:val>
            <c:numRef>
              <c:f>'[lucru raport 2023 (1).xlsx]6_PO_Activitati economice'!$B$75:$B$78</c:f>
              <c:numCache>
                <c:formatCode>0.0</c:formatCode>
                <c:ptCount val="4"/>
                <c:pt idx="0">
                  <c:v>179.3</c:v>
                </c:pt>
                <c:pt idx="1">
                  <c:v>127.6</c:v>
                </c:pt>
                <c:pt idx="2">
                  <c:v>66.5</c:v>
                </c:pt>
                <c:pt idx="3">
                  <c:v>488.9</c:v>
                </c:pt>
              </c:numCache>
            </c:numRef>
          </c:val>
          <c:extLst>
            <c:ext xmlns:c16="http://schemas.microsoft.com/office/drawing/2014/chart" uri="{C3380CC4-5D6E-409C-BE32-E72D297353CC}">
              <c16:uniqueId val="{00000002-C00A-4893-A2CC-3896D6E6F3B0}"/>
            </c:ext>
          </c:extLst>
        </c:ser>
        <c:ser>
          <c:idx val="1"/>
          <c:order val="1"/>
          <c:tx>
            <c:strRef>
              <c:f>'[lucru raport 2023 (1).xlsx]6_PO_Activitati economice'!$C$74</c:f>
              <c:strCache>
                <c:ptCount val="1"/>
                <c:pt idx="0">
                  <c:v>2023</c:v>
                </c:pt>
              </c:strCache>
            </c:strRef>
          </c:tx>
          <c:invertIfNegative val="0"/>
          <c:dLbls>
            <c:dLbl>
              <c:idx val="0"/>
              <c:layout>
                <c:manualLayout>
                  <c:x val="3.100775193798449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00A-4893-A2CC-3896D6E6F3B0}"/>
                </c:ext>
              </c:extLst>
            </c:dLbl>
            <c:dLbl>
              <c:idx val="1"/>
              <c:layout>
                <c:manualLayout>
                  <c:x val="2.6578073089700914E-2"/>
                  <c:y val="5.442176870748298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00A-4893-A2CC-3896D6E6F3B0}"/>
                </c:ext>
              </c:extLst>
            </c:dLbl>
            <c:dLbl>
              <c:idx val="2"/>
              <c:layout>
                <c:manualLayout>
                  <c:x val="2.6578073089700997E-2"/>
                  <c:y val="2.72108843537413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00A-4893-A2CC-3896D6E6F3B0}"/>
                </c:ext>
              </c:extLst>
            </c:dLbl>
            <c:dLbl>
              <c:idx val="3"/>
              <c:layout>
                <c:manualLayout>
                  <c:x val="2.214839424141733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00A-4893-A2CC-3896D6E6F3B0}"/>
                </c:ext>
              </c:extLst>
            </c:dLbl>
            <c:spPr>
              <a:noFill/>
              <a:ln>
                <a:noFill/>
              </a:ln>
              <a:effectLst/>
            </c:spPr>
            <c:txPr>
              <a:bodyPr wrap="square" lIns="38100" tIns="19050" rIns="38100" bIns="19050" anchor="ctr">
                <a:spAutoFit/>
              </a:bodyPr>
              <a:lstStyle/>
              <a:p>
                <a:pPr>
                  <a:defRPr sz="700" b="1" i="0" baseline="0">
                    <a:solidFill>
                      <a:srgbClr val="C00000"/>
                    </a:solidFill>
                    <a:latin typeface="Times New Roman" panose="02020603050405020304" pitchFamily="18" charset="0"/>
                    <a:cs typeface="Times New Roman" panose="02020603050405020304" pitchFamily="18" charset="0"/>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'[lucru raport 2023 (1).xlsx]6_PO_Activitati economice'!$A$75:$A$78</c:f>
              <c:strCache>
                <c:ptCount val="4"/>
                <c:pt idx="0">
                  <c:v>Agricultură, silvicultură şi pescuit</c:v>
                </c:pt>
                <c:pt idx="1">
                  <c:v>Industrie</c:v>
                </c:pt>
                <c:pt idx="2">
                  <c:v>Construcţii</c:v>
                </c:pt>
                <c:pt idx="3">
                  <c:v>Servicii</c:v>
                </c:pt>
              </c:strCache>
            </c:strRef>
          </c:cat>
          <c:val>
            <c:numRef>
              <c:f>'[lucru raport 2023 (1).xlsx]6_PO_Activitati economice'!$C$75:$C$78</c:f>
              <c:numCache>
                <c:formatCode>0.0</c:formatCode>
                <c:ptCount val="4"/>
                <c:pt idx="0">
                  <c:v>185.3</c:v>
                </c:pt>
                <c:pt idx="1">
                  <c:v>127.8</c:v>
                </c:pt>
                <c:pt idx="2">
                  <c:v>63.3</c:v>
                </c:pt>
                <c:pt idx="3">
                  <c:v>510.5</c:v>
                </c:pt>
              </c:numCache>
            </c:numRef>
          </c:val>
          <c:extLst>
            <c:ext xmlns:c16="http://schemas.microsoft.com/office/drawing/2014/chart" uri="{C3380CC4-5D6E-409C-BE32-E72D297353CC}">
              <c16:uniqueId val="{00000007-C00A-4893-A2CC-3896D6E6F3B0}"/>
            </c:ext>
          </c:extLst>
        </c:ser>
        <c:dLbls>
          <c:showLegendKey val="0"/>
          <c:showVal val="0"/>
          <c:showCatName val="0"/>
          <c:showSerName val="0"/>
          <c:showPercent val="0"/>
          <c:showBubbleSize val="0"/>
        </c:dLbls>
        <c:gapWidth val="150"/>
        <c:axId val="93215360"/>
        <c:axId val="93221248"/>
      </c:barChart>
      <c:catAx>
        <c:axId val="93215360"/>
        <c:scaling>
          <c:orientation val="minMax"/>
        </c:scaling>
        <c:delete val="0"/>
        <c:axPos val="b"/>
        <c:numFmt formatCode="General" sourceLinked="0"/>
        <c:majorTickMark val="out"/>
        <c:minorTickMark val="none"/>
        <c:tickLblPos val="nextTo"/>
        <c:txPr>
          <a:bodyPr/>
          <a:lstStyle/>
          <a:p>
            <a:pPr>
              <a:defRPr sz="700" baseline="0">
                <a:latin typeface="Times New Roman" panose="02020603050405020304" pitchFamily="18" charset="0"/>
                <a:cs typeface="Times New Roman" panose="02020603050405020304" pitchFamily="18" charset="0"/>
              </a:defRPr>
            </a:pPr>
            <a:endParaRPr lang="ro-MD"/>
          </a:p>
        </c:txPr>
        <c:crossAx val="93221248"/>
        <c:crosses val="autoZero"/>
        <c:auto val="1"/>
        <c:lblAlgn val="ctr"/>
        <c:lblOffset val="100"/>
        <c:noMultiLvlLbl val="0"/>
      </c:catAx>
      <c:valAx>
        <c:axId val="93221248"/>
        <c:scaling>
          <c:orientation val="minMax"/>
        </c:scaling>
        <c:delete val="0"/>
        <c:axPos val="l"/>
        <c:majorGridlines/>
        <c:numFmt formatCode="0.0"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ro-MD"/>
          </a:p>
        </c:txPr>
        <c:crossAx val="93215360"/>
        <c:crosses val="autoZero"/>
        <c:crossBetween val="between"/>
      </c:valAx>
    </c:plotArea>
    <c:legend>
      <c:legendPos val="b"/>
      <c:legendEntry>
        <c:idx val="0"/>
        <c:txPr>
          <a:bodyPr/>
          <a:lstStyle/>
          <a:p>
            <a:pPr>
              <a:defRPr sz="800" b="1" i="0" baseline="0">
                <a:solidFill>
                  <a:schemeClr val="tx2"/>
                </a:solidFill>
                <a:latin typeface="Times New Roman" panose="02020603050405020304" pitchFamily="18" charset="0"/>
                <a:cs typeface="Times New Roman" panose="02020603050405020304" pitchFamily="18" charset="0"/>
              </a:defRPr>
            </a:pPr>
            <a:endParaRPr lang="ro-MD"/>
          </a:p>
        </c:txPr>
      </c:legendEntry>
      <c:legendEntry>
        <c:idx val="1"/>
        <c:txPr>
          <a:bodyPr/>
          <a:lstStyle/>
          <a:p>
            <a:pPr>
              <a:defRPr sz="800" b="1" i="0" baseline="0">
                <a:solidFill>
                  <a:srgbClr val="C00000"/>
                </a:solidFill>
                <a:latin typeface="Times New Roman" panose="02020603050405020304" pitchFamily="18" charset="0"/>
                <a:cs typeface="Times New Roman" panose="02020603050405020304" pitchFamily="18" charset="0"/>
              </a:defRPr>
            </a:pPr>
            <a:endParaRPr lang="ro-MD"/>
          </a:p>
        </c:txPr>
      </c:legendEntry>
      <c:overlay val="0"/>
      <c:txPr>
        <a:bodyPr/>
        <a:lstStyle/>
        <a:p>
          <a:pPr>
            <a:defRPr sz="800" b="1" i="0" baseline="0">
              <a:latin typeface="Times New Roman" panose="02020603050405020304" pitchFamily="18" charset="0"/>
              <a:cs typeface="Times New Roman" panose="02020603050405020304" pitchFamily="18" charset="0"/>
            </a:defRPr>
          </a:pPr>
          <a:endParaRPr lang="ro-MD"/>
        </a:p>
      </c:txPr>
    </c:legend>
    <c:plotVisOnly val="1"/>
    <c:dispBlanksAs val="gap"/>
    <c:showDLblsOverMax val="0"/>
  </c:chart>
  <c:spPr>
    <a:ln w="9525">
      <a:solidFill>
        <a:schemeClr val="tx1"/>
      </a:solidFill>
    </a:ln>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'[lucru raport 2023 (1).xlsx]6_PO_Activitati economice'!$B$68</c:f>
              <c:strCache>
                <c:ptCount val="1"/>
                <c:pt idx="0">
                  <c:v>2022</c:v>
                </c:pt>
              </c:strCache>
            </c:strRef>
          </c:tx>
          <c:invertIfNegative val="0"/>
          <c:dLbls>
            <c:dLbl>
              <c:idx val="0"/>
              <c:layout>
                <c:manualLayout>
                  <c:x val="-4.5197740112994352E-3"/>
                  <c:y val="1.09739368998628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3C0-4868-9D69-09BAE77FB2FE}"/>
                </c:ext>
              </c:extLst>
            </c:dLbl>
            <c:dLbl>
              <c:idx val="1"/>
              <c:layout>
                <c:manualLayout>
                  <c:x val="0"/>
                  <c:y val="1.09739368998628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3C0-4868-9D69-09BAE77FB2FE}"/>
                </c:ext>
              </c:extLst>
            </c:dLbl>
            <c:dLbl>
              <c:idx val="2"/>
              <c:layout>
                <c:manualLayout>
                  <c:x val="-2.2598870056497258E-2"/>
                  <c:y val="1.7912046708447158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3C0-4868-9D69-09BAE77FB2FE}"/>
                </c:ext>
              </c:extLst>
            </c:dLbl>
            <c:dLbl>
              <c:idx val="3"/>
              <c:layout>
                <c:manualLayout>
                  <c:x val="0"/>
                  <c:y val="2.1903262092238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3C0-4868-9D69-09BAE77FB2FE}"/>
                </c:ext>
              </c:extLst>
            </c:dLbl>
            <c:spPr>
              <a:noFill/>
              <a:ln>
                <a:noFill/>
              </a:ln>
              <a:effectLst/>
            </c:spPr>
            <c:txPr>
              <a:bodyPr wrap="square" lIns="38100" tIns="19050" rIns="38100" bIns="19050" anchor="ctr">
                <a:spAutoFit/>
              </a:bodyPr>
              <a:lstStyle/>
              <a:p>
                <a:pPr>
                  <a:defRPr sz="700" b="1" i="0" baseline="0">
                    <a:solidFill>
                      <a:srgbClr val="0070C0"/>
                    </a:solidFill>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'[lucru raport 2023 (1).xlsx]6_PO_Activitati economice'!$A$69:$A$72</c:f>
              <c:strCache>
                <c:ptCount val="4"/>
                <c:pt idx="0">
                  <c:v>Agricultură, silvicultură şi pescuit</c:v>
                </c:pt>
                <c:pt idx="1">
                  <c:v>Industrie</c:v>
                </c:pt>
                <c:pt idx="2">
                  <c:v>Construcţii</c:v>
                </c:pt>
                <c:pt idx="3">
                  <c:v>Servicii</c:v>
                </c:pt>
              </c:strCache>
            </c:strRef>
          </c:cat>
          <c:val>
            <c:numRef>
              <c:f>'[lucru raport 2023 (1).xlsx]6_PO_Activitati economice'!$B$69:$B$72</c:f>
              <c:numCache>
                <c:formatCode>0.0</c:formatCode>
                <c:ptCount val="4"/>
                <c:pt idx="0">
                  <c:v>20.8</c:v>
                </c:pt>
                <c:pt idx="1">
                  <c:v>14.9</c:v>
                </c:pt>
                <c:pt idx="2">
                  <c:v>7.7</c:v>
                </c:pt>
                <c:pt idx="3">
                  <c:v>56.7</c:v>
                </c:pt>
              </c:numCache>
            </c:numRef>
          </c:val>
          <c:extLst>
            <c:ext xmlns:c16="http://schemas.microsoft.com/office/drawing/2014/chart" uri="{C3380CC4-5D6E-409C-BE32-E72D297353CC}">
              <c16:uniqueId val="{00000004-D3C0-4868-9D69-09BAE77FB2FE}"/>
            </c:ext>
          </c:extLst>
        </c:ser>
        <c:ser>
          <c:idx val="1"/>
          <c:order val="1"/>
          <c:tx>
            <c:strRef>
              <c:f>'[lucru raport 2023 (1).xlsx]6_PO_Activitati economice'!$C$68</c:f>
              <c:strCache>
                <c:ptCount val="1"/>
                <c:pt idx="0">
                  <c:v>2023</c:v>
                </c:pt>
              </c:strCache>
            </c:strRef>
          </c:tx>
          <c:invertIfNegative val="0"/>
          <c:dLbls>
            <c:dLbl>
              <c:idx val="0"/>
              <c:layout>
                <c:manualLayout>
                  <c:x val="1.3559322033898305E-2"/>
                  <c:y val="1.6460905349794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3C0-4868-9D69-09BAE77FB2FE}"/>
                </c:ext>
              </c:extLst>
            </c:dLbl>
            <c:dLbl>
              <c:idx val="1"/>
              <c:layout>
                <c:manualLayout>
                  <c:x val="-8.2861566316604703E-17"/>
                  <c:y val="2.1947873799725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3C0-4868-9D69-09BAE77FB2FE}"/>
                </c:ext>
              </c:extLst>
            </c:dLbl>
            <c:dLbl>
              <c:idx val="2"/>
              <c:layout>
                <c:manualLayout>
                  <c:x val="0"/>
                  <c:y val="-2.70317638866571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3C0-4868-9D69-09BAE77FB2FE}"/>
                </c:ext>
              </c:extLst>
            </c:dLbl>
            <c:dLbl>
              <c:idx val="3"/>
              <c:tx>
                <c:rich>
                  <a:bodyPr/>
                  <a:lstStyle/>
                  <a:p>
                    <a:r>
                      <a:rPr lang="en-US"/>
                      <a:t>57.6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D3C0-4868-9D69-09BAE77FB2FE}"/>
                </c:ext>
              </c:extLst>
            </c:dLbl>
            <c:spPr>
              <a:noFill/>
              <a:ln>
                <a:noFill/>
              </a:ln>
              <a:effectLst/>
            </c:spPr>
            <c:txPr>
              <a:bodyPr wrap="square" lIns="38100" tIns="19050" rIns="38100" bIns="19050" anchor="ctr">
                <a:spAutoFit/>
              </a:bodyPr>
              <a:lstStyle/>
              <a:p>
                <a:pPr>
                  <a:defRPr sz="700" b="1" i="0" baseline="0">
                    <a:solidFill>
                      <a:srgbClr val="C00000"/>
                    </a:solidFill>
                  </a:defRPr>
                </a:pPr>
                <a:endParaRPr lang="ro-M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'[lucru raport 2023 (1).xlsx]6_PO_Activitati economice'!$A$69:$A$72</c:f>
              <c:strCache>
                <c:ptCount val="4"/>
                <c:pt idx="0">
                  <c:v>Agricultură, silvicultură şi pescuit</c:v>
                </c:pt>
                <c:pt idx="1">
                  <c:v>Industrie</c:v>
                </c:pt>
                <c:pt idx="2">
                  <c:v>Construcţii</c:v>
                </c:pt>
                <c:pt idx="3">
                  <c:v>Servicii</c:v>
                </c:pt>
              </c:strCache>
            </c:strRef>
          </c:cat>
          <c:val>
            <c:numRef>
              <c:f>'[lucru raport 2023 (1).xlsx]6_PO_Activitati economice'!$C$69:$C$72</c:f>
              <c:numCache>
                <c:formatCode>0.0</c:formatCode>
                <c:ptCount val="4"/>
                <c:pt idx="0">
                  <c:v>20.8</c:v>
                </c:pt>
                <c:pt idx="1">
                  <c:v>14.4</c:v>
                </c:pt>
                <c:pt idx="2">
                  <c:v>7.1</c:v>
                </c:pt>
                <c:pt idx="3">
                  <c:v>57.7</c:v>
                </c:pt>
              </c:numCache>
            </c:numRef>
          </c:val>
          <c:extLst>
            <c:ext xmlns:c16="http://schemas.microsoft.com/office/drawing/2014/chart" uri="{C3380CC4-5D6E-409C-BE32-E72D297353CC}">
              <c16:uniqueId val="{00000009-D3C0-4868-9D69-09BAE77FB2FE}"/>
            </c:ext>
          </c:extLst>
        </c:ser>
        <c:dLbls>
          <c:showLegendKey val="0"/>
          <c:showVal val="0"/>
          <c:showCatName val="0"/>
          <c:showSerName val="0"/>
          <c:showPercent val="0"/>
          <c:showBubbleSize val="0"/>
        </c:dLbls>
        <c:gapWidth val="150"/>
        <c:axId val="93167616"/>
        <c:axId val="93169152"/>
      </c:barChart>
      <c:catAx>
        <c:axId val="93167616"/>
        <c:scaling>
          <c:orientation val="minMax"/>
        </c:scaling>
        <c:delete val="0"/>
        <c:axPos val="b"/>
        <c:numFmt formatCode="General" sourceLinked="0"/>
        <c:majorTickMark val="out"/>
        <c:minorTickMark val="none"/>
        <c:tickLblPos val="nextTo"/>
        <c:txPr>
          <a:bodyPr/>
          <a:lstStyle/>
          <a:p>
            <a:pPr>
              <a:defRPr sz="700" baseline="0"/>
            </a:pPr>
            <a:endParaRPr lang="ro-MD"/>
          </a:p>
        </c:txPr>
        <c:crossAx val="93169152"/>
        <c:crosses val="autoZero"/>
        <c:auto val="1"/>
        <c:lblAlgn val="ctr"/>
        <c:lblOffset val="100"/>
        <c:noMultiLvlLbl val="0"/>
      </c:catAx>
      <c:valAx>
        <c:axId val="93169152"/>
        <c:scaling>
          <c:orientation val="minMax"/>
          <c:max val="60"/>
        </c:scaling>
        <c:delete val="0"/>
        <c:axPos val="l"/>
        <c:majorGridlines/>
        <c:numFmt formatCode="0.0" sourceLinked="1"/>
        <c:majorTickMark val="out"/>
        <c:minorTickMark val="none"/>
        <c:tickLblPos val="nextTo"/>
        <c:spPr>
          <a:ln>
            <a:noFill/>
          </a:ln>
        </c:spPr>
        <c:crossAx val="93167616"/>
        <c:crosses val="autoZero"/>
        <c:crossBetween val="between"/>
      </c:valAx>
    </c:plotArea>
    <c:legend>
      <c:legendPos val="b"/>
      <c:legendEntry>
        <c:idx val="0"/>
        <c:txPr>
          <a:bodyPr/>
          <a:lstStyle/>
          <a:p>
            <a:pPr>
              <a:defRPr b="1" i="0" baseline="0">
                <a:solidFill>
                  <a:schemeClr val="tx2"/>
                </a:solidFill>
              </a:defRPr>
            </a:pPr>
            <a:endParaRPr lang="ro-MD"/>
          </a:p>
        </c:txPr>
      </c:legendEntry>
      <c:legendEntry>
        <c:idx val="1"/>
        <c:txPr>
          <a:bodyPr/>
          <a:lstStyle/>
          <a:p>
            <a:pPr>
              <a:defRPr b="1" i="0" baseline="0">
                <a:solidFill>
                  <a:srgbClr val="C00000"/>
                </a:solidFill>
              </a:defRPr>
            </a:pPr>
            <a:endParaRPr lang="ro-MD"/>
          </a:p>
        </c:txPr>
      </c:legendEntry>
      <c:overlay val="0"/>
      <c:txPr>
        <a:bodyPr/>
        <a:lstStyle/>
        <a:p>
          <a:pPr>
            <a:defRPr b="1" i="0" baseline="0"/>
          </a:pPr>
          <a:endParaRPr lang="ro-MD"/>
        </a:p>
      </c:txPr>
    </c:legend>
    <c:plotVisOnly val="1"/>
    <c:dispBlanksAs val="gap"/>
    <c:showDLblsOverMax val="0"/>
  </c:chart>
  <c:spPr>
    <a:ln w="9525">
      <a:solidFill>
        <a:schemeClr val="tx1"/>
      </a:solidFill>
    </a:ln>
  </c:spPr>
  <c:txPr>
    <a:bodyPr/>
    <a:lstStyle/>
    <a:p>
      <a:pPr>
        <a:defRPr sz="800">
          <a:latin typeface="Times New Roman" panose="02020603050405020304" pitchFamily="18" charset="0"/>
          <a:cs typeface="Times New Roman" panose="02020603050405020304" pitchFamily="18" charset="0"/>
        </a:defRPr>
      </a:pPr>
      <a:endParaRPr lang="ro-MD"/>
    </a:p>
  </c:txPr>
  <c:externalData r:id="rId2">
    <c:autoUpdate val="0"/>
  </c:externalData>
  <c:userShapes r:id="rId3"/>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withinLinear" id="14">
  <a:schemeClr val="accent1"/>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4">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prstDash val="sysDot"/>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spPr>
      <a:ln w="9525">
        <a:solidFill>
          <a:schemeClr val="tx1">
            <a:lumMod val="15000"/>
            <a:lumOff val="85000"/>
          </a:schemeClr>
        </a:solid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0.04028</cdr:x>
      <cdr:y>0.28495</cdr:y>
    </cdr:from>
    <cdr:to>
      <cdr:x>0.26777</cdr:x>
      <cdr:y>0.80108</cdr:y>
    </cdr:to>
    <cdr:sp macro="" textlink="">
      <cdr:nvSpPr>
        <cdr:cNvPr id="2" name="Text Box 1"/>
        <cdr:cNvSpPr txBox="1"/>
      </cdr:nvSpPr>
      <cdr:spPr>
        <a:xfrm xmlns:a="http://schemas.openxmlformats.org/drawingml/2006/main">
          <a:off x="161925" y="50482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0.06872</cdr:x>
      <cdr:y>0.7957</cdr:y>
    </cdr:from>
    <cdr:to>
      <cdr:x>0.29621</cdr:x>
      <cdr:y>1</cdr:y>
    </cdr:to>
    <cdr:sp macro="" textlink="">
      <cdr:nvSpPr>
        <cdr:cNvPr id="3" name="Text Box 2"/>
        <cdr:cNvSpPr txBox="1"/>
      </cdr:nvSpPr>
      <cdr:spPr>
        <a:xfrm xmlns:a="http://schemas.openxmlformats.org/drawingml/2006/main">
          <a:off x="276225" y="1409700"/>
          <a:ext cx="914400" cy="3619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0.04554</cdr:x>
      <cdr:y>0</cdr:y>
    </cdr:from>
    <cdr:to>
      <cdr:x>0.12739</cdr:x>
      <cdr:y>0.0684</cdr:y>
    </cdr:to>
    <cdr:sp macro="" textlink="">
      <cdr:nvSpPr>
        <cdr:cNvPr id="2" name="TextBox 1">
          <a:extLst xmlns:a="http://schemas.openxmlformats.org/drawingml/2006/main">
            <a:ext uri="{FF2B5EF4-FFF2-40B4-BE49-F238E27FC236}">
              <a16:creationId xmlns:a16="http://schemas.microsoft.com/office/drawing/2014/main" id="{3BC7E2D5-0498-E5B1-90FF-BEEF41EAB92F}"/>
            </a:ext>
          </a:extLst>
        </cdr:cNvPr>
        <cdr:cNvSpPr txBox="1"/>
      </cdr:nvSpPr>
      <cdr:spPr>
        <a:xfrm xmlns:a="http://schemas.openxmlformats.org/drawingml/2006/main">
          <a:off x="328613" y="0"/>
          <a:ext cx="590550" cy="2000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o-RO" sz="1100"/>
            <a:t>%</a:t>
          </a:r>
          <a:endParaRPr lang="en-GB" sz="1100"/>
        </a:p>
      </cdr:txBody>
    </cdr:sp>
  </cdr:relSizeAnchor>
  <cdr:relSizeAnchor xmlns:cdr="http://schemas.openxmlformats.org/drawingml/2006/chartDrawing">
    <cdr:from>
      <cdr:x>0.7637</cdr:x>
      <cdr:y>0</cdr:y>
    </cdr:from>
    <cdr:to>
      <cdr:x>0.89549</cdr:x>
      <cdr:y>0.08686</cdr:y>
    </cdr:to>
    <cdr:sp macro="" textlink="">
      <cdr:nvSpPr>
        <cdr:cNvPr id="3" name="TextBox 1">
          <a:extLst xmlns:a="http://schemas.openxmlformats.org/drawingml/2006/main">
            <a:ext uri="{FF2B5EF4-FFF2-40B4-BE49-F238E27FC236}">
              <a16:creationId xmlns:a16="http://schemas.microsoft.com/office/drawing/2014/main" id="{6886D3AE-088F-29C6-153D-3B2FB396F338}"/>
            </a:ext>
          </a:extLst>
        </cdr:cNvPr>
        <cdr:cNvSpPr txBox="1"/>
      </cdr:nvSpPr>
      <cdr:spPr>
        <a:xfrm xmlns:a="http://schemas.openxmlformats.org/drawingml/2006/main">
          <a:off x="5510213" y="0"/>
          <a:ext cx="950912" cy="2540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o-RO" sz="1000">
              <a:latin typeface="Times New Roman" panose="02020603050405020304" pitchFamily="18" charset="0"/>
              <a:cs typeface="Times New Roman" panose="02020603050405020304" pitchFamily="18" charset="0"/>
            </a:rPr>
            <a:t>puncte procentuale</a:t>
          </a:r>
          <a:endParaRPr lang="en-GB" sz="1000">
            <a:latin typeface="Times New Roman" panose="02020603050405020304" pitchFamily="18" charset="0"/>
            <a:cs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0.03399</cdr:x>
      <cdr:y>0.13012</cdr:y>
    </cdr:from>
    <cdr:to>
      <cdr:x>0.30595</cdr:x>
      <cdr:y>0.47237</cdr:y>
    </cdr:to>
    <cdr:sp macro="" textlink="">
      <cdr:nvSpPr>
        <cdr:cNvPr id="3" name="TextBox 2"/>
        <cdr:cNvSpPr txBox="1"/>
      </cdr:nvSpPr>
      <cdr:spPr>
        <a:xfrm xmlns:a="http://schemas.openxmlformats.org/drawingml/2006/main">
          <a:off x="114300" y="347663"/>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0.19263</cdr:x>
      <cdr:y>0.11943</cdr:y>
    </cdr:from>
    <cdr:to>
      <cdr:x>0.35694</cdr:x>
      <cdr:y>0.33333</cdr:y>
    </cdr:to>
    <cdr:sp macro="" textlink="">
      <cdr:nvSpPr>
        <cdr:cNvPr id="4" name="TextBox 3"/>
        <cdr:cNvSpPr txBox="1"/>
      </cdr:nvSpPr>
      <cdr:spPr>
        <a:xfrm xmlns:a="http://schemas.openxmlformats.org/drawingml/2006/main">
          <a:off x="647700" y="319088"/>
          <a:ext cx="552450" cy="5715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0.10198</cdr:x>
      <cdr:y>0.06952</cdr:y>
    </cdr:from>
    <cdr:to>
      <cdr:x>0.37394</cdr:x>
      <cdr:y>0.41176</cdr:y>
    </cdr:to>
    <cdr:sp macro="" textlink="">
      <cdr:nvSpPr>
        <cdr:cNvPr id="5" name="TextBox 4"/>
        <cdr:cNvSpPr txBox="1"/>
      </cdr:nvSpPr>
      <cdr:spPr>
        <a:xfrm xmlns:a="http://schemas.openxmlformats.org/drawingml/2006/main">
          <a:off x="342900" y="185738"/>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0.14448</cdr:x>
      <cdr:y>0.15152</cdr:y>
    </cdr:from>
    <cdr:to>
      <cdr:x>0.41643</cdr:x>
      <cdr:y>0.49376</cdr:y>
    </cdr:to>
    <cdr:sp macro="" textlink="">
      <cdr:nvSpPr>
        <cdr:cNvPr id="6" name="TextBox 5"/>
        <cdr:cNvSpPr txBox="1"/>
      </cdr:nvSpPr>
      <cdr:spPr>
        <a:xfrm xmlns:a="http://schemas.openxmlformats.org/drawingml/2006/main">
          <a:off x="485775" y="404813"/>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0.24929</cdr:x>
      <cdr:y>0.11943</cdr:y>
    </cdr:from>
    <cdr:to>
      <cdr:x>0.52125</cdr:x>
      <cdr:y>0.46168</cdr:y>
    </cdr:to>
    <cdr:sp macro="" textlink="">
      <cdr:nvSpPr>
        <cdr:cNvPr id="7" name="TextBox 6"/>
        <cdr:cNvSpPr txBox="1"/>
      </cdr:nvSpPr>
      <cdr:spPr>
        <a:xfrm xmlns:a="http://schemas.openxmlformats.org/drawingml/2006/main">
          <a:off x="838200" y="319088"/>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0.31728</cdr:x>
      <cdr:y>0.21569</cdr:y>
    </cdr:from>
    <cdr:to>
      <cdr:x>0.58924</cdr:x>
      <cdr:y>0.55793</cdr:y>
    </cdr:to>
    <cdr:sp macro="" textlink="">
      <cdr:nvSpPr>
        <cdr:cNvPr id="8" name="TextBox 7"/>
        <cdr:cNvSpPr txBox="1"/>
      </cdr:nvSpPr>
      <cdr:spPr>
        <a:xfrm xmlns:a="http://schemas.openxmlformats.org/drawingml/2006/main">
          <a:off x="1066800" y="576263"/>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0.04533</cdr:x>
      <cdr:y>0.08021</cdr:y>
    </cdr:from>
    <cdr:to>
      <cdr:x>0.31728</cdr:x>
      <cdr:y>0.42246</cdr:y>
    </cdr:to>
    <cdr:sp macro="" textlink="">
      <cdr:nvSpPr>
        <cdr:cNvPr id="9" name="TextBox 8"/>
        <cdr:cNvSpPr txBox="1"/>
      </cdr:nvSpPr>
      <cdr:spPr>
        <a:xfrm xmlns:a="http://schemas.openxmlformats.org/drawingml/2006/main">
          <a:off x="152400" y="214313"/>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0.05949</cdr:x>
      <cdr:y>0</cdr:y>
    </cdr:from>
    <cdr:to>
      <cdr:x>0.25212</cdr:x>
      <cdr:y>0.11586</cdr:y>
    </cdr:to>
    <cdr:sp macro="" textlink="">
      <cdr:nvSpPr>
        <cdr:cNvPr id="2" name="TextBox 1"/>
        <cdr:cNvSpPr txBox="1"/>
      </cdr:nvSpPr>
      <cdr:spPr>
        <a:xfrm xmlns:a="http://schemas.openxmlformats.org/drawingml/2006/main">
          <a:off x="200026" y="0"/>
          <a:ext cx="647700" cy="30956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t>%</a:t>
          </a:r>
        </a:p>
      </cdr:txBody>
    </cdr:sp>
  </cdr:relSizeAnchor>
</c:userShapes>
</file>

<file path=word/drawings/drawing4.xml><?xml version="1.0" encoding="utf-8"?>
<c:userShapes xmlns:c="http://schemas.openxmlformats.org/drawingml/2006/chart">
  <cdr:relSizeAnchor xmlns:cdr="http://schemas.openxmlformats.org/drawingml/2006/chartDrawing">
    <cdr:from>
      <cdr:x>0.44583</cdr:x>
      <cdr:y>0.06076</cdr:y>
    </cdr:from>
    <cdr:to>
      <cdr:x>0.64583</cdr:x>
      <cdr:y>0.18924</cdr:y>
    </cdr:to>
    <cdr:sp macro="" textlink="">
      <cdr:nvSpPr>
        <cdr:cNvPr id="2" name="TextBox 1"/>
        <cdr:cNvSpPr txBox="1"/>
      </cdr:nvSpPr>
      <cdr:spPr>
        <a:xfrm xmlns:a="http://schemas.openxmlformats.org/drawingml/2006/main">
          <a:off x="2038350" y="166688"/>
          <a:ext cx="914400" cy="3524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b="1">
              <a:latin typeface="Times New Roman" panose="02020603050405020304" pitchFamily="18" charset="0"/>
              <a:cs typeface="Times New Roman" panose="02020603050405020304" pitchFamily="18" charset="0"/>
            </a:rPr>
            <a:t>anul 2022</a:t>
          </a:r>
        </a:p>
      </cdr:txBody>
    </cdr:sp>
  </cdr:relSizeAnchor>
</c:userShapes>
</file>

<file path=word/drawings/drawing5.xml><?xml version="1.0" encoding="utf-8"?>
<c:userShapes xmlns:c="http://schemas.openxmlformats.org/drawingml/2006/chart">
  <cdr:relSizeAnchor xmlns:cdr="http://schemas.openxmlformats.org/drawingml/2006/chartDrawing">
    <cdr:from>
      <cdr:x>0.44583</cdr:x>
      <cdr:y>0.06076</cdr:y>
    </cdr:from>
    <cdr:to>
      <cdr:x>0.64583</cdr:x>
      <cdr:y>0.18924</cdr:y>
    </cdr:to>
    <cdr:sp macro="" textlink="">
      <cdr:nvSpPr>
        <cdr:cNvPr id="2" name="TextBox 1"/>
        <cdr:cNvSpPr txBox="1"/>
      </cdr:nvSpPr>
      <cdr:spPr>
        <a:xfrm xmlns:a="http://schemas.openxmlformats.org/drawingml/2006/main">
          <a:off x="2038350" y="166688"/>
          <a:ext cx="914400" cy="3524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b="1">
              <a:latin typeface="Times New Roman" panose="02020603050405020304" pitchFamily="18" charset="0"/>
              <a:cs typeface="Times New Roman" panose="02020603050405020304" pitchFamily="18" charset="0"/>
            </a:rPr>
            <a:t>anul 2023</a:t>
          </a:r>
        </a:p>
      </cdr:txBody>
    </cdr:sp>
  </cdr:relSizeAnchor>
</c:userShapes>
</file>

<file path=word/drawings/drawing6.xml><?xml version="1.0" encoding="utf-8"?>
<c:userShapes xmlns:c="http://schemas.openxmlformats.org/drawingml/2006/chart">
  <cdr:relSizeAnchor xmlns:cdr="http://schemas.openxmlformats.org/drawingml/2006/chartDrawing">
    <cdr:from>
      <cdr:x>0.44619</cdr:x>
      <cdr:y>0</cdr:y>
    </cdr:from>
    <cdr:to>
      <cdr:x>0.66143</cdr:x>
      <cdr:y>0.3787</cdr:y>
    </cdr:to>
    <cdr:sp macro="" textlink="">
      <cdr:nvSpPr>
        <cdr:cNvPr id="2" name="TextBox 1"/>
        <cdr:cNvSpPr txBox="1"/>
      </cdr:nvSpPr>
      <cdr:spPr>
        <a:xfrm xmlns:a="http://schemas.openxmlformats.org/drawingml/2006/main">
          <a:off x="1895475" y="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b="1">
              <a:latin typeface="Times New Roman" panose="02020603050405020304" pitchFamily="18" charset="0"/>
              <a:cs typeface="Times New Roman" panose="02020603050405020304" pitchFamily="18" charset="0"/>
            </a:rPr>
            <a:t>202</a:t>
          </a:r>
          <a:r>
            <a:rPr lang="ro-RO" sz="1100" b="1">
              <a:latin typeface="Times New Roman" panose="02020603050405020304" pitchFamily="18" charset="0"/>
              <a:cs typeface="Times New Roman" panose="02020603050405020304" pitchFamily="18" charset="0"/>
            </a:rPr>
            <a:t>2</a:t>
          </a:r>
          <a:endParaRPr lang="en-US" sz="1100" b="1">
            <a:latin typeface="Times New Roman" panose="02020603050405020304" pitchFamily="18" charset="0"/>
            <a:cs typeface="Times New Roman" panose="02020603050405020304" pitchFamily="18" charset="0"/>
          </a:endParaRPr>
        </a:p>
      </cdr:txBody>
    </cdr:sp>
  </cdr:relSizeAnchor>
</c:userShapes>
</file>

<file path=word/drawings/drawing7.xml><?xml version="1.0" encoding="utf-8"?>
<c:userShapes xmlns:c="http://schemas.openxmlformats.org/drawingml/2006/chart">
  <cdr:relSizeAnchor xmlns:cdr="http://schemas.openxmlformats.org/drawingml/2006/chartDrawing">
    <cdr:from>
      <cdr:x>0.24351</cdr:x>
      <cdr:y>0</cdr:y>
    </cdr:from>
    <cdr:to>
      <cdr:x>0.44701</cdr:x>
      <cdr:y>0.38042</cdr:y>
    </cdr:to>
    <cdr:sp macro="" textlink="">
      <cdr:nvSpPr>
        <cdr:cNvPr id="2" name="TextBox 1"/>
        <cdr:cNvSpPr txBox="1"/>
      </cdr:nvSpPr>
      <cdr:spPr>
        <a:xfrm xmlns:a="http://schemas.openxmlformats.org/drawingml/2006/main">
          <a:off x="762937" y="-4772025"/>
          <a:ext cx="637601" cy="79717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b="1">
              <a:latin typeface="Times New Roman" panose="02020603050405020304" pitchFamily="18" charset="0"/>
              <a:cs typeface="Times New Roman" panose="02020603050405020304" pitchFamily="18" charset="0"/>
            </a:rPr>
            <a:t>202</a:t>
          </a:r>
          <a:r>
            <a:rPr lang="ro-RO" sz="1100" b="1">
              <a:latin typeface="Times New Roman" panose="02020603050405020304" pitchFamily="18" charset="0"/>
              <a:cs typeface="Times New Roman" panose="02020603050405020304" pitchFamily="18" charset="0"/>
            </a:rPr>
            <a:t>3</a:t>
          </a:r>
          <a:endParaRPr lang="en-US" sz="1100" b="1">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0FBC57-6334-495E-924D-82F17C67C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7433</Words>
  <Characters>43112</Characters>
  <Application>Microsoft Office Word</Application>
  <DocSecurity>0</DocSecurity>
  <Lines>359</Lines>
  <Paragraphs>100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raisa.terzi</dc:creator>
  <cp:keywords/>
  <dc:description/>
  <cp:lastModifiedBy>Direcție Politici Ocupaționale și de Reglementare a Migrației și Forței de Muncă</cp:lastModifiedBy>
  <cp:revision>3</cp:revision>
  <cp:lastPrinted>2024-05-22T07:10:00Z</cp:lastPrinted>
  <dcterms:created xsi:type="dcterms:W3CDTF">2024-06-05T06:35:00Z</dcterms:created>
  <dcterms:modified xsi:type="dcterms:W3CDTF">2024-06-05T06:37:00Z</dcterms:modified>
</cp:coreProperties>
</file>