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59" w:rsidRDefault="00CA6959" w:rsidP="00CA6959">
      <w:pPr>
        <w:pStyle w:val="1"/>
        <w:rPr>
          <w:rFonts w:ascii="Arial" w:hAnsi="Arial" w:cs="Arial"/>
          <w:b/>
          <w:bCs/>
          <w:color w:val="0070C0"/>
          <w:sz w:val="24"/>
        </w:rPr>
      </w:pPr>
    </w:p>
    <w:p w:rsidR="00CA6959" w:rsidRDefault="00CA6959" w:rsidP="00CA6959">
      <w:pPr>
        <w:pStyle w:val="1"/>
        <w:rPr>
          <w:rFonts w:ascii="Arial" w:hAnsi="Arial" w:cs="Arial"/>
          <w:b/>
          <w:bCs/>
          <w:color w:val="0070C0"/>
          <w:sz w:val="24"/>
        </w:rPr>
      </w:pPr>
    </w:p>
    <w:p w:rsidR="00CA6959" w:rsidRPr="00CA6959" w:rsidRDefault="00CA6959" w:rsidP="00CA6959">
      <w:pPr>
        <w:pStyle w:val="1"/>
        <w:rPr>
          <w:rFonts w:ascii="Arial" w:hAnsi="Arial" w:cs="Arial"/>
          <w:b/>
          <w:bCs/>
          <w:color w:val="0070C0"/>
          <w:sz w:val="24"/>
        </w:rPr>
      </w:pPr>
      <w:r w:rsidRPr="00CA6959">
        <w:rPr>
          <w:rFonts w:ascii="Arial" w:hAnsi="Arial" w:cs="Arial"/>
          <w:b/>
          <w:bCs/>
          <w:color w:val="0070C0"/>
          <w:sz w:val="24"/>
        </w:rPr>
        <w:t>AGEN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IA NA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IONALĂ PENTRU OCUPAREA FOR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EI DE MUNCĂ</w:t>
      </w: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D96FAE" w:rsidP="009A6DCB">
      <w:pPr>
        <w:pStyle w:val="1"/>
        <w:rPr>
          <w:rFonts w:ascii="Book Antiqua" w:hAnsi="Book Antiqua"/>
          <w:b/>
          <w:bCs/>
        </w:rPr>
      </w:pPr>
      <w:r>
        <w:rPr>
          <w:noProof/>
          <w:lang w:val="ru-RU"/>
        </w:rPr>
        <w:drawing>
          <wp:inline distT="0" distB="0" distL="0" distR="0">
            <wp:extent cx="5184140" cy="4763135"/>
            <wp:effectExtent l="19050" t="0" r="0" b="0"/>
            <wp:docPr id="1" name="Picture 1" descr="comunicare-www-techkik-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icare-www-techkik-co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40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CA6959">
      <w:pPr>
        <w:pStyle w:val="1"/>
        <w:rPr>
          <w:rFonts w:ascii="Arial" w:hAnsi="Arial" w:cs="Arial"/>
          <w:b/>
          <w:bCs/>
          <w:color w:val="1F497D"/>
          <w:szCs w:val="28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>RAPORT STATISTIC</w:t>
      </w:r>
    </w:p>
    <w:p w:rsidR="00CA6959" w:rsidRPr="00CA6959" w:rsidRDefault="00CA6959" w:rsidP="00CA6959">
      <w:pPr>
        <w:pStyle w:val="1"/>
        <w:rPr>
          <w:rFonts w:ascii="Book Antiqua" w:hAnsi="Book Antiqua"/>
          <w:b/>
          <w:bCs/>
          <w:color w:val="1F497D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 xml:space="preserve">privind măsurile de ocupare şi protecţie socială a persoanelor aflate în </w:t>
      </w:r>
      <w:r>
        <w:rPr>
          <w:rFonts w:ascii="Arial" w:hAnsi="Arial" w:cs="Arial"/>
          <w:b/>
          <w:bCs/>
          <w:color w:val="1F497D"/>
          <w:szCs w:val="28"/>
        </w:rPr>
        <w:t xml:space="preserve"> </w:t>
      </w:r>
      <w:r w:rsidRPr="00CA6959">
        <w:rPr>
          <w:rFonts w:ascii="Arial" w:hAnsi="Arial" w:cs="Arial"/>
          <w:b/>
          <w:bCs/>
          <w:color w:val="1F497D"/>
          <w:szCs w:val="28"/>
        </w:rPr>
        <w:t>căuta</w:t>
      </w:r>
      <w:r w:rsidR="003E4465">
        <w:rPr>
          <w:rFonts w:ascii="Arial" w:hAnsi="Arial" w:cs="Arial"/>
          <w:b/>
          <w:bCs/>
          <w:color w:val="1F497D"/>
          <w:szCs w:val="28"/>
        </w:rPr>
        <w:t xml:space="preserve">rea unui loc de muncă, realizat de către </w:t>
      </w:r>
      <w:r w:rsidR="00E25E69">
        <w:rPr>
          <w:rFonts w:ascii="Arial" w:hAnsi="Arial" w:cs="Arial"/>
          <w:b/>
          <w:bCs/>
          <w:color w:val="1F497D"/>
          <w:szCs w:val="28"/>
        </w:rPr>
        <w:t>A</w:t>
      </w:r>
      <w:r w:rsidR="003E4465">
        <w:rPr>
          <w:rFonts w:ascii="Arial" w:hAnsi="Arial" w:cs="Arial"/>
          <w:b/>
          <w:bCs/>
          <w:color w:val="1F497D"/>
          <w:szCs w:val="28"/>
        </w:rPr>
        <w:t xml:space="preserve">genţia </w:t>
      </w:r>
      <w:r w:rsidR="00E25E69">
        <w:rPr>
          <w:rFonts w:ascii="Arial" w:hAnsi="Arial" w:cs="Arial"/>
          <w:b/>
          <w:bCs/>
          <w:color w:val="1F497D"/>
          <w:szCs w:val="28"/>
        </w:rPr>
        <w:t>N</w:t>
      </w:r>
      <w:r w:rsidR="003E4465">
        <w:rPr>
          <w:rFonts w:ascii="Arial" w:hAnsi="Arial" w:cs="Arial"/>
          <w:b/>
          <w:bCs/>
          <w:color w:val="1F497D"/>
          <w:szCs w:val="28"/>
        </w:rPr>
        <w:t>ațională</w:t>
      </w:r>
      <w:r w:rsidRPr="00CA6959">
        <w:rPr>
          <w:rFonts w:ascii="Arial" w:hAnsi="Arial" w:cs="Arial"/>
          <w:b/>
          <w:bCs/>
          <w:color w:val="1F497D"/>
          <w:szCs w:val="28"/>
        </w:rPr>
        <w:t xml:space="preserve"> pen</w:t>
      </w:r>
      <w:r w:rsidR="003E4465">
        <w:rPr>
          <w:rFonts w:ascii="Arial" w:hAnsi="Arial" w:cs="Arial"/>
          <w:b/>
          <w:bCs/>
          <w:color w:val="1F497D"/>
          <w:szCs w:val="28"/>
        </w:rPr>
        <w:t xml:space="preserve">tru </w:t>
      </w:r>
      <w:r w:rsidR="00E25E69">
        <w:rPr>
          <w:rFonts w:ascii="Arial" w:hAnsi="Arial" w:cs="Arial"/>
          <w:b/>
          <w:bCs/>
          <w:color w:val="1F497D"/>
          <w:szCs w:val="28"/>
        </w:rPr>
        <w:t>O</w:t>
      </w:r>
      <w:r w:rsidR="003E4465">
        <w:rPr>
          <w:rFonts w:ascii="Arial" w:hAnsi="Arial" w:cs="Arial"/>
          <w:b/>
          <w:bCs/>
          <w:color w:val="1F497D"/>
          <w:szCs w:val="28"/>
        </w:rPr>
        <w:t xml:space="preserve">cuparea </w:t>
      </w:r>
      <w:r w:rsidR="00E25E69">
        <w:rPr>
          <w:rFonts w:ascii="Arial" w:hAnsi="Arial" w:cs="Arial"/>
          <w:b/>
          <w:bCs/>
          <w:color w:val="1F497D"/>
          <w:szCs w:val="28"/>
        </w:rPr>
        <w:t>F</w:t>
      </w:r>
      <w:r w:rsidR="003E4465">
        <w:rPr>
          <w:rFonts w:ascii="Arial" w:hAnsi="Arial" w:cs="Arial"/>
          <w:b/>
          <w:bCs/>
          <w:color w:val="1F497D"/>
          <w:szCs w:val="28"/>
        </w:rPr>
        <w:t xml:space="preserve">orţei de </w:t>
      </w:r>
      <w:r w:rsidR="00E25E69">
        <w:rPr>
          <w:rFonts w:ascii="Arial" w:hAnsi="Arial" w:cs="Arial"/>
          <w:b/>
          <w:bCs/>
          <w:color w:val="1F497D"/>
          <w:szCs w:val="28"/>
        </w:rPr>
        <w:t>M</w:t>
      </w:r>
      <w:r w:rsidR="003E4465">
        <w:rPr>
          <w:rFonts w:ascii="Arial" w:hAnsi="Arial" w:cs="Arial"/>
          <w:b/>
          <w:bCs/>
          <w:color w:val="1F497D"/>
          <w:szCs w:val="28"/>
        </w:rPr>
        <w:t>uncă din Republica</w:t>
      </w:r>
      <w:r w:rsidRPr="00CA6959">
        <w:rPr>
          <w:rFonts w:ascii="Arial" w:hAnsi="Arial" w:cs="Arial"/>
          <w:b/>
          <w:bCs/>
          <w:color w:val="1F497D"/>
          <w:szCs w:val="28"/>
        </w:rPr>
        <w:t xml:space="preserve"> Moldova în </w:t>
      </w:r>
      <w:r w:rsidR="0053199B">
        <w:rPr>
          <w:rFonts w:ascii="Arial" w:hAnsi="Arial" w:cs="Arial"/>
          <w:b/>
          <w:bCs/>
          <w:color w:val="1F497D"/>
          <w:szCs w:val="28"/>
        </w:rPr>
        <w:t>ianuarie</w:t>
      </w:r>
      <w:r w:rsidRPr="00CA6959">
        <w:rPr>
          <w:rFonts w:ascii="Arial" w:hAnsi="Arial" w:cs="Arial"/>
          <w:b/>
          <w:bCs/>
          <w:color w:val="1F497D"/>
          <w:szCs w:val="28"/>
        </w:rPr>
        <w:t xml:space="preserve"> 201</w:t>
      </w:r>
      <w:r w:rsidR="0053199B">
        <w:rPr>
          <w:rFonts w:ascii="Arial" w:hAnsi="Arial" w:cs="Arial"/>
          <w:b/>
          <w:bCs/>
          <w:color w:val="1F497D"/>
          <w:szCs w:val="28"/>
        </w:rPr>
        <w:t>7</w:t>
      </w: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0D4E4B" w:rsidRDefault="000D4E4B" w:rsidP="000D4E4B">
      <w:pPr>
        <w:rPr>
          <w:lang w:val="ro-RO"/>
        </w:rPr>
      </w:pPr>
    </w:p>
    <w:p w:rsidR="000D4E4B" w:rsidRPr="000D4E4B" w:rsidRDefault="000D4E4B" w:rsidP="000D4E4B">
      <w:pPr>
        <w:rPr>
          <w:lang w:val="ro-RO"/>
        </w:rPr>
      </w:pPr>
    </w:p>
    <w:tbl>
      <w:tblPr>
        <w:tblW w:w="10362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000"/>
      </w:tblPr>
      <w:tblGrid>
        <w:gridCol w:w="830"/>
        <w:gridCol w:w="6896"/>
        <w:gridCol w:w="1248"/>
        <w:gridCol w:w="1388"/>
      </w:tblGrid>
      <w:tr w:rsidR="00A75F71" w:rsidRPr="007D4683" w:rsidTr="00C03EAC">
        <w:trPr>
          <w:trHeight w:val="523"/>
        </w:trPr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Nr. rând.</w:t>
            </w:r>
          </w:p>
        </w:tc>
        <w:tc>
          <w:tcPr>
            <w:tcW w:w="6896" w:type="dxa"/>
            <w:shd w:val="clear" w:color="auto" w:fill="A7BFDE"/>
          </w:tcPr>
          <w:p w:rsidR="009A6DCB" w:rsidRPr="007D4683" w:rsidRDefault="009A6DCB" w:rsidP="009645CD">
            <w:pPr>
              <w:pStyle w:val="1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Indicatori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Показатели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Total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 xml:space="preserve">Всего </w:t>
            </w:r>
          </w:p>
        </w:tc>
        <w:tc>
          <w:tcPr>
            <w:tcW w:w="138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Femei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Женщин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A</w:t>
            </w:r>
          </w:p>
        </w:tc>
        <w:tc>
          <w:tcPr>
            <w:tcW w:w="6896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B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1</w:t>
            </w:r>
          </w:p>
        </w:tc>
        <w:tc>
          <w:tcPr>
            <w:tcW w:w="1388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2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01.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Numărul şomerilor aflaţi în </w:t>
            </w:r>
            <w:r w:rsidRPr="007D4683">
              <w:rPr>
                <w:rFonts w:ascii="Book Antiqua" w:hAnsi="Book Antiqua"/>
                <w:b/>
                <w:color w:val="1F497D"/>
                <w:szCs w:val="22"/>
                <w:lang w:val="ro-RO"/>
              </w:rPr>
              <w:t>evidenţă la începutul lunii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начале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53199B" w:rsidP="00A52597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26889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53199B" w:rsidP="00A52597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12607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02.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înregistraţi pe parcursul lunii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зарегистрированные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53199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5113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53199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2127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03.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Şomeri plasaţi în câmpul muncii pe parcursul lunii 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трудоустроенные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53199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918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53199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481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04.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ieşiţi din evidenţă pe parcursul lunii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 сняты с учета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53199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2081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53199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943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05.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 evidenţă la finele lunii, (01+02-03-04)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конце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53199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29003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53199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13310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06.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disponibilizaţi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уволенные в связи с высвобождением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53199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1702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53199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1012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07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anului, inclusiv cei aflaţi în evidenţă la 1.01.20</w:t>
            </w:r>
            <w:r w:rsidR="00C57253"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1</w:t>
            </w:r>
            <w:r w:rsidR="001D54BA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6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(</w:t>
            </w:r>
            <w:r w:rsidR="009B7EC6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26908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)</w:t>
            </w:r>
          </w:p>
          <w:p w:rsidR="00676280" w:rsidRPr="007D4683" w:rsidRDefault="00676280" w:rsidP="009B7EC6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года, в том числе те которые состояли на учете 1.01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.20</w:t>
            </w:r>
            <w:r w:rsidR="00E83157"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1</w:t>
            </w:r>
            <w:r w:rsidR="001D54BA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6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(</w:t>
            </w:r>
            <w:r w:rsidR="009B7EC6" w:rsidRPr="009B7EC6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26908</w:t>
            </w:r>
            <w:r w:rsidRPr="009B7EC6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53199B" w:rsidP="00E97604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32002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53199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14734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08.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Beneficiau  de ajutor de şomaj la începutul anului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на начало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53199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2152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53199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1179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09.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intrat în plată pe parcursul perioadei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в течении отчетного периода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53199B" w:rsidP="002029D9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246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53199B" w:rsidP="002029D9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112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10.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 încetat plata ajutorului de şomaj pe parcursul perioadei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Прекратилась выплата пособия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53199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297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53199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172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11.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ajutor de şomaj la finele lunii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53199B" w:rsidP="002029D9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2101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53199B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1119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12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 la începutul anului.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Получают пособие по трудоустройству на начала года.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53199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814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53199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587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</w:t>
            </w:r>
            <w:r w:rsidRPr="007D4683">
              <w:rPr>
                <w:color w:val="1F497D"/>
                <w:sz w:val="26"/>
                <w:szCs w:val="26"/>
              </w:rPr>
              <w:t>3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sau reintegrare profesională de la începutul anului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pt-BR"/>
              </w:rPr>
              <w:t>.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Получают пособие по трудоустройству с начала года.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53199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53199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31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14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încetat plata alocaţie</w:t>
            </w:r>
            <w:r w:rsidR="00154E9A"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i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de integrare şi reintegrare profesională  pe parcursul perioadei de raportare (de la începutul anului)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53199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134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53199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98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15.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la finele lunii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по трудоустройству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53199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725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53199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520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16.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mediere a muncii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пользовались посредническими услугами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53199B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3537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53199B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1581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17.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53199B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3160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53199B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1529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18.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informare şi consiliere profesională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Лица, которые воспользовались услугами по профессиональной ориентации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53199B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28679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53199B" w:rsidP="002029D9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12809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19.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53199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26068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53199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12183</w:t>
            </w:r>
          </w:p>
        </w:tc>
      </w:tr>
      <w:tr w:rsidR="00A75F71" w:rsidRPr="007D4683" w:rsidTr="00C03EAC">
        <w:trPr>
          <w:trHeight w:val="860"/>
        </w:trPr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lastRenderedPageBreak/>
              <w:t>20.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pStyle w:val="2"/>
              <w:spacing w:before="0" w:after="0"/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</w:pPr>
            <w:r w:rsidRPr="007D4683"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  <w:t>Şomeri care urmau cursurile de formare profesională la începutul anului</w:t>
            </w:r>
          </w:p>
          <w:p w:rsidR="00676280" w:rsidRPr="007D4683" w:rsidRDefault="00676280" w:rsidP="009645CD">
            <w:pPr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Безработные, которые посещали курсы профессиональной подготовке в начале года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53199B" w:rsidP="00A5672D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851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53199B" w:rsidP="001A0FE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514</w:t>
            </w:r>
          </w:p>
        </w:tc>
      </w:tr>
      <w:tr w:rsidR="00A75F71" w:rsidRPr="007D4683" w:rsidTr="00C03EAC">
        <w:trPr>
          <w:trHeight w:val="640"/>
        </w:trPr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21.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înmatriculaţi la cursuri de formare profesională de la începutul anului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Безработные, зачисленные на курсах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53199B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53199B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22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22.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absolvit cursurile de formare profesională de la începutul anului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Лица, прошедшие курсы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53199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75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53199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46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23.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urmează cursurile la finele lunii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посещают курсы в конце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53199B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818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53199B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480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24.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Şomeri ocupaţi la lucrări publice de la începutul anului 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 xml:space="preserve">Численность безработных, занятых на общественных работах с начала года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53199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53199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25.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ocupaţi la finele lunii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них: - заняты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53199B" w:rsidP="002029D9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15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53199B" w:rsidP="007D4683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3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26.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acordarea ajutorului de şomaj, mii lei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пособий по безработице,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53199B" w:rsidP="00E97604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2773.15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E016C4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27.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formarea profesională, mii lei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по профессиональной подготовке,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53199B" w:rsidP="00E016C4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867.21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28.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stimularea antrenării la lucrări publice, mii lei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Расходы для стимулирования оплачиваемых общественных работ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53199B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2.5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29.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plata indemnizaţiei de integrare sau reintegrare profesională, mii lei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единовременного пособия по трудоустройство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53199B" w:rsidP="001A0FE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388.92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30.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totale calculate din Fondul de şomaj, mii lei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Сумма подсчитанных  расходов из Фонда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722AC2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4031.79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31.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722AC2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5113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722AC2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2127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32.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Numărul şomerilor plasaţi în câmpul muncii de la începutul anului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трудоустроенных безработных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722AC2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918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722AC2" w:rsidP="00A5672D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481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33.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înregistrate de la începutul anului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зарегистрированных 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722AC2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3534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34.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la finele lunii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722AC2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7774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35.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pentru persoane cu studii superioare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них: - для лиц с высшим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722AC2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2020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36.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numPr>
                <w:ilvl w:val="0"/>
                <w:numId w:val="2"/>
              </w:numPr>
              <w:jc w:val="both"/>
              <w:rPr>
                <w:rFonts w:ascii="Book Antiqua" w:hAnsi="Book Antiqua"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pentru persoane cu studii medii</w:t>
            </w:r>
          </w:p>
          <w:p w:rsidR="00676280" w:rsidRPr="007D4683" w:rsidRDefault="00676280" w:rsidP="007D4683">
            <w:pPr>
              <w:ind w:left="1269"/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для лиц со средним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722AC2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5754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37.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rândul 34:  – pentru muncitori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34 строки: - для рабочих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722AC2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5072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38.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Mărimea medie a ajutorului de şomaj, lei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Средний размер пособия по безработице,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722AC2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1374.08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</w:tbl>
    <w:p w:rsidR="009A6DCB" w:rsidRPr="00930F12" w:rsidRDefault="009A6DCB" w:rsidP="009A6DCB">
      <w:pPr>
        <w:jc w:val="both"/>
        <w:rPr>
          <w:rFonts w:ascii="Book Antiqua" w:hAnsi="Book Antiqua"/>
          <w:b/>
          <w:color w:val="000000"/>
          <w:sz w:val="16"/>
          <w:szCs w:val="16"/>
          <w:lang w:val="ro-RO"/>
        </w:rPr>
      </w:pPr>
    </w:p>
    <w:p w:rsidR="009A6DCB" w:rsidRPr="00780CC4" w:rsidRDefault="00722AC2" w:rsidP="009A6DCB">
      <w:pPr>
        <w:jc w:val="both"/>
        <w:rPr>
          <w:b/>
          <w:color w:val="17365D"/>
          <w:lang w:val="en-US"/>
        </w:rPr>
      </w:pPr>
      <w:r>
        <w:rPr>
          <w:b/>
          <w:color w:val="17365D"/>
          <w:lang w:val="ro-RO"/>
        </w:rPr>
        <w:t>21</w:t>
      </w:r>
      <w:r w:rsidR="005B0699" w:rsidRPr="00350E80">
        <w:rPr>
          <w:b/>
          <w:color w:val="17365D"/>
          <w:lang w:val="ro-RO"/>
        </w:rPr>
        <w:t>.</w:t>
      </w:r>
      <w:r>
        <w:rPr>
          <w:b/>
          <w:color w:val="17365D"/>
          <w:lang w:val="ro-RO"/>
        </w:rPr>
        <w:t>02</w:t>
      </w:r>
      <w:r w:rsidR="00215969" w:rsidRPr="00350E80">
        <w:rPr>
          <w:b/>
          <w:color w:val="17365D"/>
          <w:lang w:val="ro-RO"/>
        </w:rPr>
        <w:t>.</w:t>
      </w:r>
      <w:r w:rsidR="009A6DCB" w:rsidRPr="00350E80">
        <w:rPr>
          <w:b/>
          <w:color w:val="17365D"/>
          <w:lang w:val="ro-RO"/>
        </w:rPr>
        <w:t>20</w:t>
      </w:r>
      <w:r w:rsidR="00EC45E5" w:rsidRPr="00350E80">
        <w:rPr>
          <w:b/>
          <w:color w:val="17365D"/>
        </w:rPr>
        <w:t>1</w:t>
      </w:r>
      <w:r w:rsidR="00780CC4">
        <w:rPr>
          <w:b/>
          <w:color w:val="17365D"/>
          <w:lang w:val="en-US"/>
        </w:rPr>
        <w:t>7</w:t>
      </w:r>
    </w:p>
    <w:p w:rsidR="008A0021" w:rsidRPr="00350E80" w:rsidRDefault="008A0021" w:rsidP="009A6DCB">
      <w:pPr>
        <w:jc w:val="both"/>
        <w:rPr>
          <w:b/>
          <w:color w:val="17365D"/>
          <w:lang w:val="en-US"/>
        </w:rPr>
      </w:pPr>
    </w:p>
    <w:p w:rsidR="008A0021" w:rsidRPr="00930F12" w:rsidRDefault="008A0021" w:rsidP="009A6DCB">
      <w:pPr>
        <w:jc w:val="both"/>
        <w:rPr>
          <w:b/>
          <w:color w:val="000000"/>
          <w:lang w:val="en-US"/>
        </w:rPr>
      </w:pPr>
    </w:p>
    <w:sectPr w:rsidR="008A0021" w:rsidRPr="00930F12" w:rsidSect="00B324B0">
      <w:pgSz w:w="11906" w:h="16838"/>
      <w:pgMar w:top="426" w:right="851" w:bottom="993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B9A" w:rsidRDefault="008D7B9A" w:rsidP="00064C98">
      <w:r>
        <w:separator/>
      </w:r>
    </w:p>
  </w:endnote>
  <w:endnote w:type="continuationSeparator" w:id="0">
    <w:p w:rsidR="008D7B9A" w:rsidRDefault="008D7B9A" w:rsidP="00064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B9A" w:rsidRDefault="008D7B9A" w:rsidP="00064C98">
      <w:r>
        <w:separator/>
      </w:r>
    </w:p>
  </w:footnote>
  <w:footnote w:type="continuationSeparator" w:id="0">
    <w:p w:rsidR="008D7B9A" w:rsidRDefault="008D7B9A" w:rsidP="00064C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B55D2"/>
    <w:multiLevelType w:val="hybridMultilevel"/>
    <w:tmpl w:val="BC8C01BA"/>
    <w:lvl w:ilvl="0" w:tplc="15BC4880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45808"/>
    <w:multiLevelType w:val="hybridMultilevel"/>
    <w:tmpl w:val="5B24F838"/>
    <w:lvl w:ilvl="0" w:tplc="01962BEC">
      <w:numFmt w:val="bullet"/>
      <w:lvlText w:val="-"/>
      <w:lvlJc w:val="left"/>
      <w:pPr>
        <w:tabs>
          <w:tab w:val="num" w:pos="1268"/>
        </w:tabs>
        <w:ind w:left="12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DCB"/>
    <w:rsid w:val="0000094B"/>
    <w:rsid w:val="00036A81"/>
    <w:rsid w:val="00037F32"/>
    <w:rsid w:val="000409BB"/>
    <w:rsid w:val="00051C6A"/>
    <w:rsid w:val="00064C98"/>
    <w:rsid w:val="00066D0C"/>
    <w:rsid w:val="0006775A"/>
    <w:rsid w:val="00083F12"/>
    <w:rsid w:val="000863BD"/>
    <w:rsid w:val="00086634"/>
    <w:rsid w:val="00092092"/>
    <w:rsid w:val="000973EC"/>
    <w:rsid w:val="000A15B9"/>
    <w:rsid w:val="000C2069"/>
    <w:rsid w:val="000D4E4B"/>
    <w:rsid w:val="00104C14"/>
    <w:rsid w:val="00123C7C"/>
    <w:rsid w:val="001252B1"/>
    <w:rsid w:val="001275A6"/>
    <w:rsid w:val="00133891"/>
    <w:rsid w:val="00136FF6"/>
    <w:rsid w:val="00154E9A"/>
    <w:rsid w:val="00157EAF"/>
    <w:rsid w:val="00157F43"/>
    <w:rsid w:val="001A0FE3"/>
    <w:rsid w:val="001B20C9"/>
    <w:rsid w:val="001C47D6"/>
    <w:rsid w:val="001D54BA"/>
    <w:rsid w:val="001F0A73"/>
    <w:rsid w:val="001F6B6A"/>
    <w:rsid w:val="002029D9"/>
    <w:rsid w:val="0021009D"/>
    <w:rsid w:val="0021425A"/>
    <w:rsid w:val="00215969"/>
    <w:rsid w:val="00221F1C"/>
    <w:rsid w:val="00223540"/>
    <w:rsid w:val="002304BB"/>
    <w:rsid w:val="00237552"/>
    <w:rsid w:val="002505C2"/>
    <w:rsid w:val="002725CC"/>
    <w:rsid w:val="00274A11"/>
    <w:rsid w:val="00287205"/>
    <w:rsid w:val="002B2A89"/>
    <w:rsid w:val="002C618E"/>
    <w:rsid w:val="002D09D5"/>
    <w:rsid w:val="002D3C92"/>
    <w:rsid w:val="002D7874"/>
    <w:rsid w:val="002E3B9F"/>
    <w:rsid w:val="002F58D7"/>
    <w:rsid w:val="00313944"/>
    <w:rsid w:val="00350E80"/>
    <w:rsid w:val="00365330"/>
    <w:rsid w:val="00365B12"/>
    <w:rsid w:val="00377EAB"/>
    <w:rsid w:val="003940B4"/>
    <w:rsid w:val="003A18D2"/>
    <w:rsid w:val="003C00A2"/>
    <w:rsid w:val="003E0375"/>
    <w:rsid w:val="003E4465"/>
    <w:rsid w:val="003F189C"/>
    <w:rsid w:val="004041D9"/>
    <w:rsid w:val="00405F72"/>
    <w:rsid w:val="00413242"/>
    <w:rsid w:val="00421DD8"/>
    <w:rsid w:val="00466492"/>
    <w:rsid w:val="00470A57"/>
    <w:rsid w:val="0048305A"/>
    <w:rsid w:val="00485D34"/>
    <w:rsid w:val="004A2AB9"/>
    <w:rsid w:val="004C7CE2"/>
    <w:rsid w:val="004F5A93"/>
    <w:rsid w:val="005031E5"/>
    <w:rsid w:val="00504A24"/>
    <w:rsid w:val="00506538"/>
    <w:rsid w:val="00511B74"/>
    <w:rsid w:val="0053199B"/>
    <w:rsid w:val="00555804"/>
    <w:rsid w:val="00560BEF"/>
    <w:rsid w:val="00571EE1"/>
    <w:rsid w:val="00582739"/>
    <w:rsid w:val="00587EC3"/>
    <w:rsid w:val="005970CB"/>
    <w:rsid w:val="005B0699"/>
    <w:rsid w:val="005B4A90"/>
    <w:rsid w:val="005B4D73"/>
    <w:rsid w:val="005C7528"/>
    <w:rsid w:val="005D1C84"/>
    <w:rsid w:val="005D5B81"/>
    <w:rsid w:val="005E090D"/>
    <w:rsid w:val="005E0CAB"/>
    <w:rsid w:val="005E3DA8"/>
    <w:rsid w:val="005E68D9"/>
    <w:rsid w:val="005F3F25"/>
    <w:rsid w:val="0060042D"/>
    <w:rsid w:val="00614B83"/>
    <w:rsid w:val="0062472E"/>
    <w:rsid w:val="00626A21"/>
    <w:rsid w:val="00630389"/>
    <w:rsid w:val="00634118"/>
    <w:rsid w:val="006373C7"/>
    <w:rsid w:val="00646336"/>
    <w:rsid w:val="00660140"/>
    <w:rsid w:val="00661D96"/>
    <w:rsid w:val="00663B7B"/>
    <w:rsid w:val="00673C6F"/>
    <w:rsid w:val="00676280"/>
    <w:rsid w:val="00682B7B"/>
    <w:rsid w:val="006908EB"/>
    <w:rsid w:val="006B6B50"/>
    <w:rsid w:val="006B73C0"/>
    <w:rsid w:val="006C5664"/>
    <w:rsid w:val="006C602B"/>
    <w:rsid w:val="006F2BCF"/>
    <w:rsid w:val="006F59B2"/>
    <w:rsid w:val="006F77BE"/>
    <w:rsid w:val="00700D8B"/>
    <w:rsid w:val="00703CE9"/>
    <w:rsid w:val="0071053F"/>
    <w:rsid w:val="00713D8D"/>
    <w:rsid w:val="00722AC2"/>
    <w:rsid w:val="00730479"/>
    <w:rsid w:val="00734330"/>
    <w:rsid w:val="00755609"/>
    <w:rsid w:val="00770622"/>
    <w:rsid w:val="0077751B"/>
    <w:rsid w:val="00780CC4"/>
    <w:rsid w:val="00785A28"/>
    <w:rsid w:val="007905CF"/>
    <w:rsid w:val="00790702"/>
    <w:rsid w:val="007979DA"/>
    <w:rsid w:val="007A6595"/>
    <w:rsid w:val="007C0B39"/>
    <w:rsid w:val="007D4683"/>
    <w:rsid w:val="007D4D7A"/>
    <w:rsid w:val="007D6B41"/>
    <w:rsid w:val="007F6147"/>
    <w:rsid w:val="007F68E8"/>
    <w:rsid w:val="0081110C"/>
    <w:rsid w:val="00816CDD"/>
    <w:rsid w:val="00825FE2"/>
    <w:rsid w:val="00832640"/>
    <w:rsid w:val="00832B1B"/>
    <w:rsid w:val="008506CC"/>
    <w:rsid w:val="00857F15"/>
    <w:rsid w:val="00866BF1"/>
    <w:rsid w:val="008A0021"/>
    <w:rsid w:val="008A0ECB"/>
    <w:rsid w:val="008A11C8"/>
    <w:rsid w:val="008A13E4"/>
    <w:rsid w:val="008A53CD"/>
    <w:rsid w:val="008A682E"/>
    <w:rsid w:val="008B6280"/>
    <w:rsid w:val="008D6CA1"/>
    <w:rsid w:val="008D7B9A"/>
    <w:rsid w:val="008F3B3C"/>
    <w:rsid w:val="00904394"/>
    <w:rsid w:val="009047DC"/>
    <w:rsid w:val="009135B3"/>
    <w:rsid w:val="0092450A"/>
    <w:rsid w:val="00926ADB"/>
    <w:rsid w:val="00930F12"/>
    <w:rsid w:val="0094192C"/>
    <w:rsid w:val="009645CD"/>
    <w:rsid w:val="00982AF1"/>
    <w:rsid w:val="00994780"/>
    <w:rsid w:val="00994D63"/>
    <w:rsid w:val="00996125"/>
    <w:rsid w:val="009A6DCB"/>
    <w:rsid w:val="009B0F16"/>
    <w:rsid w:val="009B7EC6"/>
    <w:rsid w:val="009C0FA3"/>
    <w:rsid w:val="009D17E6"/>
    <w:rsid w:val="00A0541C"/>
    <w:rsid w:val="00A14166"/>
    <w:rsid w:val="00A325C2"/>
    <w:rsid w:val="00A52597"/>
    <w:rsid w:val="00A54406"/>
    <w:rsid w:val="00A56553"/>
    <w:rsid w:val="00A5672D"/>
    <w:rsid w:val="00A57D6B"/>
    <w:rsid w:val="00A75F71"/>
    <w:rsid w:val="00A8538C"/>
    <w:rsid w:val="00A94D0D"/>
    <w:rsid w:val="00AA1610"/>
    <w:rsid w:val="00AB72CA"/>
    <w:rsid w:val="00AD264C"/>
    <w:rsid w:val="00AD3519"/>
    <w:rsid w:val="00AD3FD6"/>
    <w:rsid w:val="00AE020C"/>
    <w:rsid w:val="00AE0BCE"/>
    <w:rsid w:val="00AE1A56"/>
    <w:rsid w:val="00B25743"/>
    <w:rsid w:val="00B31B23"/>
    <w:rsid w:val="00B324B0"/>
    <w:rsid w:val="00B466A9"/>
    <w:rsid w:val="00B47B67"/>
    <w:rsid w:val="00B72510"/>
    <w:rsid w:val="00B96C3A"/>
    <w:rsid w:val="00BA29BF"/>
    <w:rsid w:val="00BC0034"/>
    <w:rsid w:val="00BC2834"/>
    <w:rsid w:val="00BD0FE2"/>
    <w:rsid w:val="00BD633C"/>
    <w:rsid w:val="00BE35AD"/>
    <w:rsid w:val="00C017A4"/>
    <w:rsid w:val="00C03EAC"/>
    <w:rsid w:val="00C421C6"/>
    <w:rsid w:val="00C4253D"/>
    <w:rsid w:val="00C461DC"/>
    <w:rsid w:val="00C57253"/>
    <w:rsid w:val="00C70471"/>
    <w:rsid w:val="00C8681F"/>
    <w:rsid w:val="00CA0254"/>
    <w:rsid w:val="00CA5576"/>
    <w:rsid w:val="00CA6959"/>
    <w:rsid w:val="00CB3FD0"/>
    <w:rsid w:val="00CB72CC"/>
    <w:rsid w:val="00CC58A9"/>
    <w:rsid w:val="00CD0F72"/>
    <w:rsid w:val="00CD548F"/>
    <w:rsid w:val="00D178CE"/>
    <w:rsid w:val="00D20A89"/>
    <w:rsid w:val="00D31F2A"/>
    <w:rsid w:val="00D35858"/>
    <w:rsid w:val="00D37425"/>
    <w:rsid w:val="00D46C2C"/>
    <w:rsid w:val="00D47E31"/>
    <w:rsid w:val="00D50706"/>
    <w:rsid w:val="00D51CD7"/>
    <w:rsid w:val="00D571CF"/>
    <w:rsid w:val="00D6786C"/>
    <w:rsid w:val="00D74861"/>
    <w:rsid w:val="00D90504"/>
    <w:rsid w:val="00D90D14"/>
    <w:rsid w:val="00D96FAE"/>
    <w:rsid w:val="00DC2400"/>
    <w:rsid w:val="00DD1B18"/>
    <w:rsid w:val="00E016C4"/>
    <w:rsid w:val="00E06DE8"/>
    <w:rsid w:val="00E11B69"/>
    <w:rsid w:val="00E17A7C"/>
    <w:rsid w:val="00E25E69"/>
    <w:rsid w:val="00E27355"/>
    <w:rsid w:val="00E31D99"/>
    <w:rsid w:val="00E40D8D"/>
    <w:rsid w:val="00E41EDC"/>
    <w:rsid w:val="00E44F68"/>
    <w:rsid w:val="00E46E8D"/>
    <w:rsid w:val="00E5159A"/>
    <w:rsid w:val="00E52B14"/>
    <w:rsid w:val="00E55EBB"/>
    <w:rsid w:val="00E571F8"/>
    <w:rsid w:val="00E65673"/>
    <w:rsid w:val="00E665A7"/>
    <w:rsid w:val="00E70392"/>
    <w:rsid w:val="00E83157"/>
    <w:rsid w:val="00E92B8A"/>
    <w:rsid w:val="00E97604"/>
    <w:rsid w:val="00EA0596"/>
    <w:rsid w:val="00EA63D0"/>
    <w:rsid w:val="00EC401B"/>
    <w:rsid w:val="00EC45E5"/>
    <w:rsid w:val="00EC6362"/>
    <w:rsid w:val="00ED0830"/>
    <w:rsid w:val="00EE3218"/>
    <w:rsid w:val="00F00050"/>
    <w:rsid w:val="00F06525"/>
    <w:rsid w:val="00F102AA"/>
    <w:rsid w:val="00F1334F"/>
    <w:rsid w:val="00F27308"/>
    <w:rsid w:val="00F331A6"/>
    <w:rsid w:val="00F372E2"/>
    <w:rsid w:val="00F45195"/>
    <w:rsid w:val="00F51D83"/>
    <w:rsid w:val="00F538DA"/>
    <w:rsid w:val="00F542A9"/>
    <w:rsid w:val="00F60DD1"/>
    <w:rsid w:val="00F665FC"/>
    <w:rsid w:val="00F71DAA"/>
    <w:rsid w:val="00F8517F"/>
    <w:rsid w:val="00F932C1"/>
    <w:rsid w:val="00F94253"/>
    <w:rsid w:val="00FA4CFD"/>
    <w:rsid w:val="00FB4837"/>
    <w:rsid w:val="00FB531F"/>
    <w:rsid w:val="00FB7FCE"/>
    <w:rsid w:val="00FC7671"/>
    <w:rsid w:val="00FD35A8"/>
    <w:rsid w:val="00FD484C"/>
    <w:rsid w:val="00FE0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DC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A6DCB"/>
    <w:pPr>
      <w:keepNext/>
      <w:jc w:val="center"/>
      <w:outlineLvl w:val="0"/>
    </w:pPr>
    <w:rPr>
      <w:sz w:val="28"/>
      <w:lang w:val="ro-RO"/>
    </w:rPr>
  </w:style>
  <w:style w:type="paragraph" w:styleId="2">
    <w:name w:val="heading 2"/>
    <w:basedOn w:val="a"/>
    <w:next w:val="a"/>
    <w:link w:val="20"/>
    <w:qFormat/>
    <w:rsid w:val="009A6D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A6DCB"/>
    <w:pPr>
      <w:keepNext/>
      <w:jc w:val="center"/>
      <w:outlineLvl w:val="6"/>
    </w:pPr>
    <w:rPr>
      <w:b/>
      <w:bCs/>
      <w:lang w:val="ro-RO"/>
    </w:rPr>
  </w:style>
  <w:style w:type="paragraph" w:styleId="8">
    <w:name w:val="heading 8"/>
    <w:basedOn w:val="a"/>
    <w:next w:val="a"/>
    <w:link w:val="80"/>
    <w:qFormat/>
    <w:rsid w:val="009A6DCB"/>
    <w:pPr>
      <w:keepNext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20">
    <w:name w:val="Заголовок 2 Знак"/>
    <w:basedOn w:val="a0"/>
    <w:link w:val="2"/>
    <w:rsid w:val="009A6DC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9A6DCB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character" w:customStyle="1" w:styleId="80">
    <w:name w:val="Заголовок 8 Знак"/>
    <w:basedOn w:val="a0"/>
    <w:link w:val="8"/>
    <w:rsid w:val="009A6DC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3">
    <w:name w:val="Body Text"/>
    <w:basedOn w:val="a"/>
    <w:link w:val="a4"/>
    <w:rsid w:val="009A6DCB"/>
    <w:pPr>
      <w:jc w:val="both"/>
    </w:pPr>
    <w:rPr>
      <w:sz w:val="28"/>
      <w:lang w:val="ro-RO"/>
    </w:rPr>
  </w:style>
  <w:style w:type="character" w:customStyle="1" w:styleId="a4">
    <w:name w:val="Основной текст Знак"/>
    <w:basedOn w:val="a0"/>
    <w:link w:val="a3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a5">
    <w:name w:val="Body Text Indent"/>
    <w:basedOn w:val="a"/>
    <w:link w:val="a6"/>
    <w:rsid w:val="009A6DCB"/>
    <w:pPr>
      <w:ind w:left="409"/>
      <w:jc w:val="both"/>
    </w:pPr>
    <w:rPr>
      <w:sz w:val="28"/>
      <w:lang w:val="ro-RO"/>
    </w:rPr>
  </w:style>
  <w:style w:type="character" w:customStyle="1" w:styleId="a6">
    <w:name w:val="Основной текст с отступом Знак"/>
    <w:basedOn w:val="a0"/>
    <w:link w:val="a5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21">
    <w:name w:val="Body Text 2"/>
    <w:basedOn w:val="a"/>
    <w:link w:val="22"/>
    <w:rsid w:val="009A6DCB"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rsid w:val="009A6DCB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23">
    <w:name w:val="Body Text Indent 2"/>
    <w:basedOn w:val="a"/>
    <w:link w:val="24"/>
    <w:rsid w:val="009A6DCB"/>
    <w:pPr>
      <w:ind w:left="255" w:hanging="255"/>
    </w:pPr>
    <w:rPr>
      <w:sz w:val="22"/>
      <w:lang w:val="ro-RO"/>
    </w:rPr>
  </w:style>
  <w:style w:type="character" w:customStyle="1" w:styleId="24">
    <w:name w:val="Основной текст с отступом 2 Знак"/>
    <w:basedOn w:val="a0"/>
    <w:link w:val="23"/>
    <w:rsid w:val="009A6DCB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a7">
    <w:name w:val="Balloon Text"/>
    <w:basedOn w:val="a"/>
    <w:link w:val="a8"/>
    <w:uiPriority w:val="99"/>
    <w:semiHidden/>
    <w:unhideWhenUsed/>
    <w:rsid w:val="00FB7F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7F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header"/>
    <w:basedOn w:val="a"/>
    <w:link w:val="aa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-11">
    <w:name w:val="Светлая заливка - Акцент 11"/>
    <w:basedOn w:val="a1"/>
    <w:uiPriority w:val="60"/>
    <w:rsid w:val="00CA6959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2-1">
    <w:name w:val="Medium Grid 2 Accent 1"/>
    <w:basedOn w:val="a1"/>
    <w:uiPriority w:val="68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-1">
    <w:name w:val="Colorful Shading Accent 1"/>
    <w:basedOn w:val="a1"/>
    <w:uiPriority w:val="71"/>
    <w:rsid w:val="00930F1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0">
    <w:name w:val="Colorful Grid Accent 1"/>
    <w:basedOn w:val="a1"/>
    <w:uiPriority w:val="73"/>
    <w:rsid w:val="00930F1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3-1">
    <w:name w:val="Medium Grid 3 Accent 1"/>
    <w:basedOn w:val="a1"/>
    <w:uiPriority w:val="69"/>
    <w:rsid w:val="00930F1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2-10">
    <w:name w:val="Medium List 2 Accent 1"/>
    <w:basedOn w:val="a1"/>
    <w:uiPriority w:val="66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Grid-Accent11">
    <w:name w:val="Light Grid - Accent 11"/>
    <w:basedOn w:val="a1"/>
    <w:uiPriority w:val="62"/>
    <w:rsid w:val="00F1334F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1-1">
    <w:name w:val="Medium Grid 1 Accent 1"/>
    <w:basedOn w:val="a1"/>
    <w:uiPriority w:val="67"/>
    <w:rsid w:val="00F1334F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A52B7-962D-4FBF-AC2B-8794A3A27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WareZ Provider</Company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Maria Bulgaru</cp:lastModifiedBy>
  <cp:revision>2</cp:revision>
  <cp:lastPrinted>2013-02-08T15:18:00Z</cp:lastPrinted>
  <dcterms:created xsi:type="dcterms:W3CDTF">2017-04-19T13:38:00Z</dcterms:created>
  <dcterms:modified xsi:type="dcterms:W3CDTF">2017-04-19T13:38:00Z</dcterms:modified>
</cp:coreProperties>
</file>