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7D" w:rsidRPr="00B64F98" w:rsidRDefault="00140CEC" w:rsidP="00C403F7">
      <w:pPr>
        <w:shd w:val="clear" w:color="auto" w:fill="FFFFFF" w:themeFill="background1"/>
        <w:jc w:val="center"/>
        <w:rPr>
          <w:rFonts w:ascii="Arial" w:hAnsi="Arial" w:cs="Arial"/>
          <w:b/>
          <w:color w:val="002060"/>
          <w:sz w:val="28"/>
          <w:szCs w:val="28"/>
          <w:u w:val="single"/>
          <w:lang w:val="ro-RO"/>
        </w:rPr>
      </w:pPr>
      <w:r w:rsidRPr="00B64F98">
        <w:rPr>
          <w:rFonts w:ascii="Arial" w:hAnsi="Arial" w:cs="Arial"/>
          <w:b/>
          <w:color w:val="002060"/>
          <w:sz w:val="28"/>
          <w:szCs w:val="28"/>
          <w:u w:val="single"/>
          <w:lang w:val="ro-RO"/>
        </w:rPr>
        <w:t>Analiza pie</w:t>
      </w:r>
      <w:r w:rsidR="000D307B" w:rsidRPr="00B64F98">
        <w:rPr>
          <w:rFonts w:ascii="Arial" w:hAnsi="Arial" w:cs="Arial"/>
          <w:b/>
          <w:color w:val="002060"/>
          <w:sz w:val="28"/>
          <w:szCs w:val="28"/>
          <w:u w:val="single"/>
          <w:lang w:val="ro-RO"/>
        </w:rPr>
        <w:t>ţ</w:t>
      </w:r>
      <w:r w:rsidRPr="00B64F98">
        <w:rPr>
          <w:rFonts w:ascii="Arial" w:hAnsi="Arial" w:cs="Arial"/>
          <w:b/>
          <w:color w:val="002060"/>
          <w:sz w:val="28"/>
          <w:szCs w:val="28"/>
          <w:u w:val="single"/>
          <w:lang w:val="ro-RO"/>
        </w:rPr>
        <w:t>ei muncii</w:t>
      </w:r>
    </w:p>
    <w:tbl>
      <w:tblPr>
        <w:tblStyle w:val="GridTable5Dark-Accent51"/>
        <w:tblpPr w:leftFromText="180" w:rightFromText="180" w:vertAnchor="text" w:horzAnchor="page" w:tblpX="808" w:tblpY="994"/>
        <w:tblW w:w="0" w:type="auto"/>
        <w:tblLook w:val="04A0" w:firstRow="1" w:lastRow="0" w:firstColumn="1" w:lastColumn="0" w:noHBand="0" w:noVBand="1"/>
      </w:tblPr>
      <w:tblGrid>
        <w:gridCol w:w="3618"/>
        <w:gridCol w:w="876"/>
        <w:gridCol w:w="876"/>
      </w:tblGrid>
      <w:tr w:rsidR="00C403F7" w:rsidTr="00C40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6" w:type="dxa"/>
            <w:shd w:val="clear" w:color="auto" w:fill="0070C0"/>
          </w:tcPr>
          <w:p w:rsidR="00C403F7" w:rsidRPr="00BF6920" w:rsidRDefault="00C403F7" w:rsidP="00C40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  <w:r w:rsidRPr="00BF6920">
              <w:rPr>
                <w:rFonts w:ascii="Times New Roman" w:hAnsi="Times New Roman" w:cs="Times New Roman"/>
                <w:lang w:val="ro-RO"/>
              </w:rPr>
              <w:t>Tr.</w:t>
            </w:r>
            <w:r>
              <w:rPr>
                <w:rFonts w:ascii="Times New Roman" w:hAnsi="Times New Roman" w:cs="Times New Roman"/>
                <w:lang w:val="ro-RO"/>
              </w:rPr>
              <w:t>II</w:t>
            </w:r>
            <w:r w:rsidRPr="00BF6920">
              <w:rPr>
                <w:rFonts w:ascii="Times New Roman" w:hAnsi="Times New Roman" w:cs="Times New Roman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876" w:type="dxa"/>
            <w:shd w:val="clear" w:color="auto" w:fill="0070C0"/>
          </w:tcPr>
          <w:p w:rsidR="00C403F7" w:rsidRPr="00BF6920" w:rsidRDefault="00C403F7" w:rsidP="00C40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  <w:r w:rsidRPr="00BF6920">
              <w:rPr>
                <w:rFonts w:ascii="Times New Roman" w:hAnsi="Times New Roman" w:cs="Times New Roman"/>
                <w:lang w:val="ro-RO"/>
              </w:rPr>
              <w:t>Tr.</w:t>
            </w:r>
            <w:r>
              <w:rPr>
                <w:rFonts w:ascii="Times New Roman" w:hAnsi="Times New Roman" w:cs="Times New Roman"/>
                <w:lang w:val="ro-RO"/>
              </w:rPr>
              <w:t>II</w:t>
            </w:r>
            <w:r w:rsidRPr="00BF6920">
              <w:rPr>
                <w:rFonts w:ascii="Times New Roman" w:hAnsi="Times New Roman" w:cs="Times New Roman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  <w:tr w:rsidR="00C403F7" w:rsidTr="00C4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Populatia cu reşedinţă obişnuită total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2640,4</w:t>
            </w:r>
          </w:p>
        </w:tc>
        <w:tc>
          <w:tcPr>
            <w:tcW w:w="876" w:type="dxa"/>
          </w:tcPr>
          <w:p w:rsidR="00C403F7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2640,4</w:t>
            </w:r>
          </w:p>
        </w:tc>
      </w:tr>
      <w:tr w:rsidR="00C403F7" w:rsidTr="00C403F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Forţa de muncă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943,0</w:t>
            </w:r>
          </w:p>
        </w:tc>
        <w:tc>
          <w:tcPr>
            <w:tcW w:w="876" w:type="dxa"/>
          </w:tcPr>
          <w:p w:rsidR="00C403F7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857,7</w:t>
            </w:r>
          </w:p>
        </w:tc>
      </w:tr>
      <w:tr w:rsidR="00C403F7" w:rsidTr="00C4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 ocupată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901,1</w:t>
            </w:r>
          </w:p>
        </w:tc>
        <w:tc>
          <w:tcPr>
            <w:tcW w:w="876" w:type="dxa"/>
          </w:tcPr>
          <w:p w:rsidR="00C403F7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821,5</w:t>
            </w:r>
          </w:p>
        </w:tc>
      </w:tr>
      <w:tr w:rsidR="00C403F7" w:rsidTr="00C403F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Şomeri conform BIM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42,0</w:t>
            </w:r>
          </w:p>
        </w:tc>
        <w:tc>
          <w:tcPr>
            <w:tcW w:w="876" w:type="dxa"/>
          </w:tcPr>
          <w:p w:rsidR="00C403F7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36,2</w:t>
            </w:r>
          </w:p>
        </w:tc>
      </w:tr>
      <w:tr w:rsidR="00C403F7" w:rsidTr="00C4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Şomeri înregistraţi la ANOFM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14,0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28,2</w:t>
            </w:r>
          </w:p>
        </w:tc>
      </w:tr>
      <w:tr w:rsidR="00C403F7" w:rsidTr="00C403F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C403F7" w:rsidRDefault="00C403F7" w:rsidP="00C403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 în afara forţei de muncă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 w:rsidRPr="00753D85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232,2</w:t>
            </w:r>
          </w:p>
        </w:tc>
        <w:tc>
          <w:tcPr>
            <w:tcW w:w="876" w:type="dxa"/>
          </w:tcPr>
          <w:p w:rsidR="00C403F7" w:rsidRPr="00753D85" w:rsidRDefault="00C403F7" w:rsidP="00C40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1293,2</w:t>
            </w:r>
          </w:p>
        </w:tc>
      </w:tr>
    </w:tbl>
    <w:p w:rsidR="00B84BC4" w:rsidRDefault="005C3A3F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color w:val="002060"/>
          <w:sz w:val="24"/>
          <w:szCs w:val="24"/>
          <w:lang w:val="ro-RO"/>
        </w:rPr>
        <w:t>P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>andemi</w:t>
      </w:r>
      <w:r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 xml:space="preserve"> COVID-19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a avut un impact negativ 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>asupra p</w:t>
      </w:r>
      <w:r w:rsidR="00B024CC" w:rsidRPr="009E23F7">
        <w:rPr>
          <w:rFonts w:ascii="Arial" w:hAnsi="Arial" w:cs="Arial"/>
          <w:color w:val="002060"/>
          <w:sz w:val="24"/>
          <w:szCs w:val="24"/>
          <w:lang w:val="ro-RO"/>
        </w:rPr>
        <w:t>i</w:t>
      </w:r>
      <w:r>
        <w:rPr>
          <w:rFonts w:ascii="Arial" w:hAnsi="Arial" w:cs="Arial"/>
          <w:color w:val="002060"/>
          <w:sz w:val="24"/>
          <w:szCs w:val="24"/>
          <w:lang w:val="ro-RO"/>
        </w:rPr>
        <w:t>e</w:t>
      </w:r>
      <w:r w:rsidR="00B024CC" w:rsidRPr="009E23F7">
        <w:rPr>
          <w:rFonts w:ascii="Arial" w:hAnsi="Arial" w:cs="Arial"/>
          <w:color w:val="002060"/>
          <w:sz w:val="24"/>
          <w:szCs w:val="24"/>
          <w:lang w:val="ro-RO"/>
        </w:rPr>
        <w:t>ţ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 xml:space="preserve">ei </w:t>
      </w:r>
      <w:r w:rsidR="00B024CC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muncii din Republica Moldova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. 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 xml:space="preserve">Efectele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ei asupra pieţei muncii 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>au ap</w:t>
      </w:r>
      <w:r>
        <w:rPr>
          <w:rFonts w:ascii="Arial" w:hAnsi="Arial" w:cs="Arial"/>
          <w:color w:val="002060"/>
          <w:sz w:val="24"/>
          <w:szCs w:val="24"/>
          <w:lang w:val="ro-RO"/>
        </w:rPr>
        <w:t>ă</w:t>
      </w:r>
      <w:r w:rsidR="00CE4D03">
        <w:rPr>
          <w:rFonts w:ascii="Arial" w:hAnsi="Arial" w:cs="Arial"/>
          <w:color w:val="002060"/>
          <w:sz w:val="24"/>
          <w:szCs w:val="24"/>
          <w:lang w:val="ro-RO"/>
        </w:rPr>
        <w:t>rut la finele trimestrului I 2020</w:t>
      </w:r>
      <w:r>
        <w:rPr>
          <w:rFonts w:ascii="Arial" w:hAnsi="Arial" w:cs="Arial"/>
          <w:color w:val="002060"/>
          <w:sz w:val="24"/>
          <w:szCs w:val="24"/>
          <w:lang w:val="ro-RO"/>
        </w:rPr>
        <w:t>, odată cu instituirea în ţară a stării de urgenţă</w:t>
      </w:r>
      <w:r w:rsidR="00645019">
        <w:rPr>
          <w:rFonts w:ascii="Arial" w:hAnsi="Arial" w:cs="Arial"/>
          <w:color w:val="002060"/>
          <w:sz w:val="24"/>
          <w:szCs w:val="24"/>
          <w:lang w:val="ro-RO"/>
        </w:rPr>
        <w:t xml:space="preserve"> şi </w:t>
      </w:r>
      <w:r w:rsidR="00A26A04">
        <w:rPr>
          <w:rFonts w:ascii="Arial" w:hAnsi="Arial" w:cs="Arial"/>
          <w:color w:val="002060"/>
          <w:sz w:val="24"/>
          <w:szCs w:val="24"/>
          <w:lang w:val="ro-RO"/>
        </w:rPr>
        <w:t>a continuat să afecte</w:t>
      </w:r>
      <w:r w:rsidR="00645019">
        <w:rPr>
          <w:rFonts w:ascii="Arial" w:hAnsi="Arial" w:cs="Arial"/>
          <w:color w:val="002060"/>
          <w:sz w:val="24"/>
          <w:szCs w:val="24"/>
          <w:lang w:val="ro-RO"/>
        </w:rPr>
        <w:t>ze</w:t>
      </w:r>
      <w:r w:rsidR="00A26A04">
        <w:rPr>
          <w:rFonts w:ascii="Arial" w:hAnsi="Arial" w:cs="Arial"/>
          <w:color w:val="002060"/>
          <w:sz w:val="24"/>
          <w:szCs w:val="24"/>
          <w:lang w:val="ro-RO"/>
        </w:rPr>
        <w:t xml:space="preserve"> piaţa mun</w:t>
      </w:r>
      <w:r w:rsidR="00645019">
        <w:rPr>
          <w:rFonts w:ascii="Arial" w:hAnsi="Arial" w:cs="Arial"/>
          <w:color w:val="002060"/>
          <w:sz w:val="24"/>
          <w:szCs w:val="24"/>
          <w:lang w:val="ro-RO"/>
        </w:rPr>
        <w:t>c</w:t>
      </w:r>
      <w:r w:rsidR="00A26A04">
        <w:rPr>
          <w:rFonts w:ascii="Arial" w:hAnsi="Arial" w:cs="Arial"/>
          <w:color w:val="002060"/>
          <w:sz w:val="24"/>
          <w:szCs w:val="24"/>
          <w:lang w:val="ro-RO"/>
        </w:rPr>
        <w:t>ii şi pe tot parcursul trimestrului II 2020.</w:t>
      </w:r>
    </w:p>
    <w:p w:rsidR="00427403" w:rsidRDefault="00427403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427403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Forţa 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de muncă</w:t>
      </w:r>
      <w:r w:rsidR="00905C20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în trimestrul II a constituit </w:t>
      </w:r>
      <w:r w:rsidRPr="00431B80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857,7 </w:t>
      </w:r>
      <w:r w:rsidRPr="00C8270E">
        <w:rPr>
          <w:rFonts w:ascii="Arial" w:hAnsi="Arial" w:cs="Arial"/>
          <w:color w:val="002060"/>
          <w:sz w:val="24"/>
          <w:szCs w:val="24"/>
          <w:lang w:val="ro-RO"/>
        </w:rPr>
        <w:t xml:space="preserve">mii </w:t>
      </w:r>
      <w:r w:rsidR="00C8270E">
        <w:rPr>
          <w:rFonts w:ascii="Arial" w:hAnsi="Arial" w:cs="Arial"/>
          <w:color w:val="002060"/>
          <w:sz w:val="24"/>
          <w:szCs w:val="24"/>
          <w:lang w:val="ro-RO"/>
        </w:rPr>
        <w:t xml:space="preserve">persoane, </w:t>
      </w:r>
      <w:r w:rsidR="00431B80">
        <w:rPr>
          <w:rFonts w:ascii="Arial" w:hAnsi="Arial" w:cs="Arial"/>
          <w:color w:val="002060"/>
          <w:sz w:val="24"/>
          <w:szCs w:val="24"/>
          <w:lang w:val="ro-RO"/>
        </w:rPr>
        <w:t xml:space="preserve">fiind în descreştere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cu </w:t>
      </w:r>
      <w:r w:rsidR="00B84BC4">
        <w:rPr>
          <w:rFonts w:ascii="Arial" w:hAnsi="Arial" w:cs="Arial"/>
          <w:color w:val="002060"/>
          <w:sz w:val="24"/>
          <w:szCs w:val="24"/>
          <w:lang w:val="ro-RO"/>
        </w:rPr>
        <w:t>85,3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mii persoane comparativ cu trimestrul II</w:t>
      </w:r>
      <w:r w:rsidR="00B84BC4">
        <w:rPr>
          <w:rFonts w:ascii="Arial" w:hAnsi="Arial" w:cs="Arial"/>
          <w:color w:val="002060"/>
          <w:sz w:val="24"/>
          <w:szCs w:val="24"/>
          <w:lang w:val="ro-RO"/>
        </w:rPr>
        <w:t xml:space="preserve"> 2019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943,0 mii</w:t>
      </w:r>
      <w:r>
        <w:rPr>
          <w:rFonts w:ascii="Arial" w:hAnsi="Arial" w:cs="Arial"/>
          <w:color w:val="002060"/>
          <w:sz w:val="24"/>
          <w:szCs w:val="24"/>
          <w:lang w:val="ro-RO"/>
        </w:rPr>
        <w:t>).</w:t>
      </w:r>
    </w:p>
    <w:p w:rsidR="00905C20" w:rsidRDefault="00427403" w:rsidP="00905C20">
      <w:pPr>
        <w:shd w:val="clear" w:color="auto" w:fill="FFFFFF" w:themeFill="background1"/>
        <w:tabs>
          <w:tab w:val="left" w:pos="3870"/>
        </w:tabs>
        <w:spacing w:before="60" w:after="60" w:line="360" w:lineRule="auto"/>
        <w:ind w:left="-902"/>
        <w:rPr>
          <w:rFonts w:ascii="Arial" w:hAnsi="Arial" w:cs="Arial"/>
          <w:color w:val="002060"/>
          <w:sz w:val="24"/>
          <w:szCs w:val="24"/>
          <w:lang w:val="ro-RO"/>
        </w:rPr>
      </w:pPr>
      <w:r w:rsidRPr="00C2231D">
        <w:rPr>
          <w:rFonts w:ascii="Arial" w:hAnsi="Arial" w:cs="Arial"/>
          <w:color w:val="002060"/>
          <w:sz w:val="24"/>
          <w:szCs w:val="24"/>
          <w:lang w:val="ro-RO"/>
        </w:rPr>
        <w:t xml:space="preserve">Aceiaşi tendinţă de </w:t>
      </w:r>
      <w:r w:rsidR="005A6DC3">
        <w:rPr>
          <w:rFonts w:ascii="Arial" w:hAnsi="Arial" w:cs="Arial"/>
          <w:color w:val="002060"/>
          <w:sz w:val="24"/>
          <w:szCs w:val="24"/>
          <w:lang w:val="ro-RO"/>
        </w:rPr>
        <w:t>des</w:t>
      </w:r>
      <w:r w:rsidRPr="00C2231D">
        <w:rPr>
          <w:rFonts w:ascii="Arial" w:hAnsi="Arial" w:cs="Arial"/>
          <w:color w:val="002060"/>
          <w:sz w:val="24"/>
          <w:szCs w:val="24"/>
          <w:lang w:val="ro-RO"/>
        </w:rPr>
        <w:t>creştere a avut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şi</w:t>
      </w:r>
    </w:p>
    <w:p w:rsidR="00427403" w:rsidRDefault="00427403" w:rsidP="00887B85">
      <w:pPr>
        <w:shd w:val="clear" w:color="auto" w:fill="FFFFFF" w:themeFill="background1"/>
        <w:tabs>
          <w:tab w:val="left" w:pos="3870"/>
        </w:tabs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b/>
          <w:color w:val="002060"/>
          <w:sz w:val="24"/>
          <w:szCs w:val="24"/>
          <w:lang w:val="ro-RO"/>
        </w:rPr>
        <w:t>p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opulația ocupată</w:t>
      </w:r>
      <w:r w:rsidR="00C7779B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de la 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901,1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mii persoane în trimestrul II</w:t>
      </w:r>
      <w:r w:rsidR="005A6DC3">
        <w:rPr>
          <w:rFonts w:ascii="Arial" w:hAnsi="Arial" w:cs="Arial"/>
          <w:color w:val="002060"/>
          <w:sz w:val="24"/>
          <w:szCs w:val="24"/>
          <w:lang w:val="ro-RO"/>
        </w:rPr>
        <w:t xml:space="preserve"> 2019</w:t>
      </w:r>
      <w:r w:rsidR="00B620FB">
        <w:rPr>
          <w:rFonts w:ascii="Arial" w:hAnsi="Arial" w:cs="Arial"/>
          <w:color w:val="002060"/>
          <w:sz w:val="24"/>
          <w:szCs w:val="24"/>
          <w:lang w:val="ro-RO"/>
        </w:rPr>
        <w:t>,</w:t>
      </w:r>
      <w:r w:rsidR="00C7779B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la </w:t>
      </w:r>
      <w:r w:rsidR="005A6DC3" w:rsidRPr="00B620FB">
        <w:rPr>
          <w:rFonts w:ascii="Arial" w:hAnsi="Arial" w:cs="Arial"/>
          <w:b/>
          <w:color w:val="002060"/>
          <w:sz w:val="24"/>
          <w:szCs w:val="24"/>
          <w:lang w:val="ro-RO"/>
        </w:rPr>
        <w:t>821,5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mii persoane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în trimestrul II</w:t>
      </w:r>
      <w:r w:rsidR="005A6DC3">
        <w:rPr>
          <w:rFonts w:ascii="Arial" w:hAnsi="Arial" w:cs="Arial"/>
          <w:color w:val="002060"/>
          <w:sz w:val="24"/>
          <w:szCs w:val="24"/>
          <w:lang w:val="ro-RO"/>
        </w:rPr>
        <w:t xml:space="preserve"> 2020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 xml:space="preserve">, ponderea bărbaţilor </w:t>
      </w:r>
      <w:r w:rsidR="00C575CE">
        <w:rPr>
          <w:rFonts w:ascii="Arial" w:hAnsi="Arial" w:cs="Arial"/>
          <w:color w:val="002060"/>
          <w:sz w:val="24"/>
          <w:szCs w:val="24"/>
          <w:lang w:val="ro-RO"/>
        </w:rPr>
        <w:t xml:space="preserve">fiind 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mai mare faţă de cea a femeilor</w:t>
      </w:r>
      <w:r w:rsidR="00C7779B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445E9C" w:rsidRPr="00905C20">
        <w:rPr>
          <w:rFonts w:ascii="Arial" w:hAnsi="Arial" w:cs="Arial"/>
          <w:b/>
          <w:color w:val="002060"/>
          <w:sz w:val="24"/>
          <w:szCs w:val="24"/>
          <w:lang w:val="ro-RO"/>
        </w:rPr>
        <w:t>52,2 %</w:t>
      </w:r>
      <w:r w:rsidR="00905C20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 xml:space="preserve">bărbaţi şi </w:t>
      </w:r>
      <w:r w:rsidR="00445E9C" w:rsidRPr="00905C20">
        <w:rPr>
          <w:rFonts w:ascii="Arial" w:hAnsi="Arial" w:cs="Arial"/>
          <w:b/>
          <w:color w:val="002060"/>
          <w:sz w:val="24"/>
          <w:szCs w:val="24"/>
          <w:lang w:val="ro-RO"/>
        </w:rPr>
        <w:t>47,8%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 xml:space="preserve"> femei)</w:t>
      </w:r>
      <w:r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 xml:space="preserve"> În aspect de rural/urban se observă o  pondere mai mare a persoanelor ocupate </w:t>
      </w:r>
      <w:r w:rsidR="00C575CE">
        <w:rPr>
          <w:rFonts w:ascii="Arial" w:hAnsi="Arial" w:cs="Arial"/>
          <w:color w:val="002060"/>
          <w:sz w:val="24"/>
          <w:szCs w:val="24"/>
          <w:lang w:val="ro-RO"/>
        </w:rPr>
        <w:t>î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n mediul rural</w:t>
      </w:r>
      <w:r w:rsidR="00C575CE">
        <w:rPr>
          <w:rFonts w:ascii="Arial" w:hAnsi="Arial" w:cs="Arial"/>
          <w:color w:val="002060"/>
          <w:sz w:val="24"/>
          <w:szCs w:val="24"/>
          <w:lang w:val="ro-RO"/>
        </w:rPr>
        <w:t xml:space="preserve"> comparativ cu cel urban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.</w:t>
      </w:r>
    </w:p>
    <w:p w:rsidR="007B51FF" w:rsidRDefault="00645019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color w:val="002060"/>
          <w:sz w:val="24"/>
          <w:szCs w:val="24"/>
          <w:lang w:val="ro-RO"/>
        </w:rPr>
        <w:t xml:space="preserve">Conform </w:t>
      </w:r>
      <w:r w:rsidR="00BD6D1C">
        <w:rPr>
          <w:rFonts w:ascii="Arial" w:hAnsi="Arial" w:cs="Arial"/>
          <w:color w:val="002060"/>
          <w:sz w:val="24"/>
          <w:szCs w:val="24"/>
          <w:lang w:val="ro-RO"/>
        </w:rPr>
        <w:t xml:space="preserve">datelor cercetării AFM realizată de </w:t>
      </w:r>
      <w:r>
        <w:rPr>
          <w:rFonts w:ascii="Arial" w:hAnsi="Arial" w:cs="Arial"/>
          <w:color w:val="002060"/>
          <w:sz w:val="24"/>
          <w:szCs w:val="24"/>
          <w:lang w:val="ro-RO"/>
        </w:rPr>
        <w:t>Biroul Naţional de Statistică</w:t>
      </w:r>
      <w:r w:rsidR="00BD6D1C">
        <w:rPr>
          <w:rFonts w:ascii="Arial" w:hAnsi="Arial" w:cs="Arial"/>
          <w:color w:val="002060"/>
          <w:sz w:val="24"/>
          <w:szCs w:val="24"/>
          <w:lang w:val="ro-RO"/>
        </w:rPr>
        <w:t>,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fiecare a zecea persoană în vârstă de 15 ani şi peste a declarat că situaţia  epidemiologică din ţară a avut un impact direct asupra relaţiei lor cu piaţa muncii. 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 xml:space="preserve">Cca </w:t>
      </w:r>
      <w:r w:rsidR="00302904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24,4 %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 xml:space="preserve"> din total</w:t>
      </w:r>
      <w:r w:rsidR="00030C2B">
        <w:rPr>
          <w:rFonts w:ascii="Arial" w:hAnsi="Arial" w:cs="Arial"/>
          <w:color w:val="002060"/>
          <w:sz w:val="24"/>
          <w:szCs w:val="24"/>
          <w:lang w:val="ro-RO"/>
        </w:rPr>
        <w:t>ul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 xml:space="preserve"> populaţie</w:t>
      </w:r>
      <w:r w:rsidR="00030C2B">
        <w:rPr>
          <w:rFonts w:ascii="Arial" w:hAnsi="Arial" w:cs="Arial"/>
          <w:color w:val="002060"/>
          <w:sz w:val="24"/>
          <w:szCs w:val="24"/>
          <w:lang w:val="ro-RO"/>
        </w:rPr>
        <w:t>i ocupate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="00302904" w:rsidRPr="00C8270E">
        <w:rPr>
          <w:rFonts w:ascii="Arial" w:hAnsi="Arial" w:cs="Arial"/>
          <w:b/>
          <w:color w:val="002060"/>
          <w:sz w:val="24"/>
          <w:szCs w:val="24"/>
          <w:lang w:val="ro-RO"/>
        </w:rPr>
        <w:t>901,1</w:t>
      </w:r>
      <w:r w:rsidR="003D7218" w:rsidRPr="00C8270E">
        <w:rPr>
          <w:rFonts w:ascii="Arial" w:hAnsi="Arial" w:cs="Arial"/>
          <w:b/>
          <w:color w:val="002060"/>
          <w:sz w:val="24"/>
          <w:szCs w:val="24"/>
          <w:lang w:val="ro-RO"/>
        </w:rPr>
        <w:t>mii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>) au declarat că le-a fost afectată situaţia la locul de muncă, populaţia fem</w:t>
      </w:r>
      <w:r w:rsidR="00030C2B">
        <w:rPr>
          <w:rFonts w:ascii="Arial" w:hAnsi="Arial" w:cs="Arial"/>
          <w:color w:val="002060"/>
          <w:sz w:val="24"/>
          <w:szCs w:val="24"/>
          <w:lang w:val="ro-RO"/>
        </w:rPr>
        <w:t>i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>nină fiind afectată într-o proporţie mai mare (</w:t>
      </w:r>
      <w:r w:rsidR="007100A9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60</w:t>
      </w:r>
      <w:r w:rsidR="00302904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,</w:t>
      </w:r>
      <w:r w:rsidR="007100A9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5</w:t>
      </w:r>
      <w:r w:rsidR="00302904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>în comparaţie cu cea masculină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C6BC3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(</w:t>
      </w:r>
      <w:r w:rsidR="007100A9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39,5</w:t>
      </w:r>
      <w:r w:rsidR="00FC6BC3" w:rsidRPr="003D7218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FC6BC3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302904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C07189">
        <w:rPr>
          <w:rFonts w:ascii="Arial" w:hAnsi="Arial" w:cs="Arial"/>
          <w:color w:val="002060"/>
          <w:sz w:val="24"/>
          <w:szCs w:val="24"/>
          <w:lang w:val="ro-RO"/>
        </w:rPr>
        <w:t>Impactul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C07189">
        <w:rPr>
          <w:rFonts w:ascii="Arial" w:hAnsi="Arial" w:cs="Arial"/>
          <w:color w:val="002060"/>
          <w:sz w:val="24"/>
          <w:szCs w:val="24"/>
          <w:lang w:val="ro-RO"/>
        </w:rPr>
        <w:t xml:space="preserve">pandemiei asupra situaţiei </w:t>
      </w:r>
      <w:r w:rsidR="00B07C83">
        <w:rPr>
          <w:rFonts w:ascii="Arial" w:hAnsi="Arial" w:cs="Arial"/>
          <w:color w:val="002060"/>
          <w:sz w:val="24"/>
          <w:szCs w:val="24"/>
          <w:lang w:val="ro-RO"/>
        </w:rPr>
        <w:t>la locul de muncă s-a manifestat</w:t>
      </w:r>
      <w:r w:rsidR="001B368B">
        <w:rPr>
          <w:rFonts w:ascii="Arial" w:hAnsi="Arial" w:cs="Arial"/>
          <w:color w:val="002060"/>
          <w:sz w:val="24"/>
          <w:szCs w:val="24"/>
          <w:lang w:val="ro-RO"/>
        </w:rPr>
        <w:t xml:space="preserve"> prin: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1B368B">
        <w:rPr>
          <w:rFonts w:ascii="Arial" w:hAnsi="Arial" w:cs="Arial"/>
          <w:color w:val="002060"/>
          <w:sz w:val="24"/>
          <w:szCs w:val="24"/>
          <w:lang w:val="ro-RO"/>
        </w:rPr>
        <w:t>întreruperea/sistarea activităţii, prestarea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1B368B">
        <w:rPr>
          <w:rFonts w:ascii="Arial" w:hAnsi="Arial" w:cs="Arial"/>
          <w:color w:val="002060"/>
          <w:sz w:val="24"/>
          <w:szCs w:val="24"/>
          <w:lang w:val="ro-RO"/>
        </w:rPr>
        <w:t>muncii la domiciliu,trecerea la programul de lucru parţial,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1B368B">
        <w:rPr>
          <w:rFonts w:ascii="Arial" w:hAnsi="Arial" w:cs="Arial"/>
          <w:color w:val="002060"/>
          <w:sz w:val="24"/>
          <w:szCs w:val="24"/>
          <w:lang w:val="ro-RO"/>
        </w:rPr>
        <w:t>micşorarea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1B368B">
        <w:rPr>
          <w:rFonts w:ascii="Arial" w:hAnsi="Arial" w:cs="Arial"/>
          <w:color w:val="002060"/>
          <w:sz w:val="24"/>
          <w:szCs w:val="24"/>
          <w:lang w:val="ro-RO"/>
        </w:rPr>
        <w:t>orelor de muncă efectiv lucrate.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081C41">
        <w:rPr>
          <w:rFonts w:ascii="Arial" w:hAnsi="Arial" w:cs="Arial"/>
          <w:color w:val="002060"/>
          <w:sz w:val="24"/>
          <w:szCs w:val="24"/>
          <w:lang w:val="ro-RO"/>
        </w:rPr>
        <w:t>Ca rezultat al întreruperii activităţii n</w:t>
      </w:r>
      <w:r w:rsidR="003D7218">
        <w:rPr>
          <w:rFonts w:ascii="Arial" w:hAnsi="Arial" w:cs="Arial"/>
          <w:color w:val="002060"/>
          <w:sz w:val="24"/>
          <w:szCs w:val="24"/>
          <w:lang w:val="ro-RO"/>
        </w:rPr>
        <w:t xml:space="preserve">umărul persoanelor care au avut un loc de muncă dar care nu au lucrat deloc </w:t>
      </w:r>
      <w:r w:rsidR="003D7218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în trimestrul II 2020 </w:t>
      </w:r>
      <w:r w:rsidR="0024779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s-</w:t>
      </w:r>
      <w:r w:rsidR="003D7218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a </w:t>
      </w:r>
      <w:r w:rsidR="0024779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majorat</w:t>
      </w:r>
      <w:r w:rsidR="003D7218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de 8 ori în comparaţie cu trimestrul II 2019</w:t>
      </w:r>
      <w:r w:rsidR="0024779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,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</w:t>
      </w:r>
      <w:r w:rsidR="00D37AC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motivul absenţei fiind:concediu neplătit </w:t>
      </w:r>
      <w:r w:rsidR="00D37AC5" w:rsidRPr="00BB475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31,4%,</w:t>
      </w:r>
      <w:r w:rsidR="00D9142E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 xml:space="preserve"> </w:t>
      </w:r>
      <w:r w:rsidR="00D37AC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staţionarea activităţii </w:t>
      </w:r>
      <w:r w:rsidR="00D37AC5" w:rsidRPr="00BB475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21,9%</w:t>
      </w:r>
      <w:r w:rsidR="00D37AC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, s-au aflat in şomaj tehnic </w:t>
      </w:r>
      <w:r w:rsidR="00D37AC5" w:rsidRPr="00BB475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20,3%</w:t>
      </w:r>
      <w:r w:rsidR="00D37AC5" w:rsidRP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şi au fost nevoiţi sa-şi ia concediul de</w:t>
      </w:r>
      <w:r w:rsidR="00D37AC5">
        <w:rPr>
          <w:rFonts w:ascii="Arial" w:hAnsi="Arial" w:cs="Arial"/>
          <w:color w:val="002060"/>
          <w:sz w:val="24"/>
          <w:szCs w:val="24"/>
          <w:lang w:val="ro-RO"/>
        </w:rPr>
        <w:t xml:space="preserve"> odihnă </w:t>
      </w:r>
      <w:r w:rsidR="00D37AC5" w:rsidRPr="00081C41">
        <w:rPr>
          <w:rFonts w:ascii="Arial" w:hAnsi="Arial" w:cs="Arial"/>
          <w:b/>
          <w:color w:val="002060"/>
          <w:sz w:val="24"/>
          <w:szCs w:val="24"/>
          <w:lang w:val="ro-RO"/>
        </w:rPr>
        <w:t>17,0%</w:t>
      </w:r>
      <w:r w:rsidR="003D7218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081C41">
        <w:rPr>
          <w:rFonts w:ascii="Arial" w:hAnsi="Arial" w:cs="Arial"/>
          <w:color w:val="002060"/>
          <w:sz w:val="24"/>
          <w:szCs w:val="24"/>
          <w:lang w:val="ro-RO"/>
        </w:rPr>
        <w:t>Totodată, a crescut de mai mult de 10 ori şi numărul persoanelor care au prestat munca la domiciliu ponderea cea mai mare constituind lucrătorii din învăţământ (</w:t>
      </w:r>
      <w:r w:rsidR="00081C41" w:rsidRPr="00081C41">
        <w:rPr>
          <w:rFonts w:ascii="Arial" w:hAnsi="Arial" w:cs="Arial"/>
          <w:b/>
          <w:color w:val="002060"/>
          <w:sz w:val="24"/>
          <w:szCs w:val="24"/>
          <w:lang w:val="ro-RO"/>
        </w:rPr>
        <w:t>66,7%</w:t>
      </w:r>
      <w:r w:rsidR="00081C41">
        <w:rPr>
          <w:rFonts w:ascii="Arial" w:hAnsi="Arial" w:cs="Arial"/>
          <w:color w:val="002060"/>
          <w:sz w:val="24"/>
          <w:szCs w:val="24"/>
          <w:lang w:val="ro-RO"/>
        </w:rPr>
        <w:t>).</w:t>
      </w:r>
      <w:r w:rsidR="004757CF">
        <w:rPr>
          <w:rFonts w:ascii="Arial" w:hAnsi="Arial" w:cs="Arial"/>
          <w:color w:val="002060"/>
          <w:sz w:val="24"/>
          <w:szCs w:val="24"/>
          <w:lang w:val="ro-RO"/>
        </w:rPr>
        <w:t xml:space="preserve"> Din numărul total de persoane ocupate cu program de lucru parţial,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4757CF">
        <w:rPr>
          <w:rFonts w:ascii="Arial" w:hAnsi="Arial" w:cs="Arial"/>
          <w:color w:val="002060"/>
          <w:sz w:val="24"/>
          <w:szCs w:val="24"/>
          <w:lang w:val="ro-RO"/>
        </w:rPr>
        <w:t>fiecare a treia a declarat că a trecut la programul parţial de lucru din cau</w:t>
      </w:r>
      <w:r w:rsidR="00623B80">
        <w:rPr>
          <w:rFonts w:ascii="Arial" w:hAnsi="Arial" w:cs="Arial"/>
          <w:color w:val="002060"/>
          <w:sz w:val="24"/>
          <w:szCs w:val="24"/>
          <w:lang w:val="ro-RO"/>
        </w:rPr>
        <w:t>z</w:t>
      </w:r>
      <w:r w:rsidR="004757CF">
        <w:rPr>
          <w:rFonts w:ascii="Arial" w:hAnsi="Arial" w:cs="Arial"/>
          <w:color w:val="002060"/>
          <w:sz w:val="24"/>
          <w:szCs w:val="24"/>
          <w:lang w:val="ro-RO"/>
        </w:rPr>
        <w:t>a pandemiei, motivele principale fiind lipsa clienţilor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4757CF">
        <w:rPr>
          <w:rFonts w:ascii="Arial" w:hAnsi="Arial" w:cs="Arial"/>
          <w:color w:val="002060"/>
          <w:sz w:val="24"/>
          <w:szCs w:val="24"/>
          <w:lang w:val="ro-RO"/>
        </w:rPr>
        <w:t>sau a comenzilor şi transferul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4757CF">
        <w:rPr>
          <w:rFonts w:ascii="Arial" w:hAnsi="Arial" w:cs="Arial"/>
          <w:color w:val="002060"/>
          <w:sz w:val="24"/>
          <w:szCs w:val="24"/>
          <w:lang w:val="ro-RO"/>
        </w:rPr>
        <w:t xml:space="preserve">din iniţiativa angajatorului la un asemenea program de lucru. </w:t>
      </w:r>
      <w:r w:rsidR="00340523">
        <w:rPr>
          <w:rFonts w:ascii="Arial" w:hAnsi="Arial" w:cs="Arial"/>
          <w:color w:val="002060"/>
          <w:sz w:val="24"/>
          <w:szCs w:val="24"/>
          <w:lang w:val="ro-RO"/>
        </w:rPr>
        <w:t>Persoanele care au lucrat mai puţine ore pe săptămână au invocat aceleaşi motive ca şi persoanele care nu au lucrat defel: şomajul tehnic şi staţionarea activităţii unităţii.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Din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distribuţia persoanelor ocupate pe </w:t>
      </w:r>
      <w:r w:rsidR="007B51F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activităţi economice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rezultă că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fiecare a 5-a persoană ocupată, activa în sectorul agricol (</w:t>
      </w:r>
      <w:r w:rsidR="007B51FF" w:rsidRPr="009027B6">
        <w:rPr>
          <w:rFonts w:ascii="Arial" w:hAnsi="Arial" w:cs="Arial"/>
          <w:b/>
          <w:color w:val="002060"/>
          <w:sz w:val="24"/>
          <w:szCs w:val="24"/>
          <w:lang w:val="ro-RO"/>
        </w:rPr>
        <w:t>22,</w:t>
      </w:r>
      <w:r w:rsidR="007B51FF">
        <w:rPr>
          <w:rFonts w:ascii="Arial" w:hAnsi="Arial" w:cs="Arial"/>
          <w:b/>
          <w:color w:val="002060"/>
          <w:sz w:val="24"/>
          <w:szCs w:val="24"/>
          <w:lang w:val="ro-RO"/>
        </w:rPr>
        <w:t>9</w:t>
      </w:r>
      <w:r w:rsidR="007B51FF" w:rsidRPr="009027B6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).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Dacă vorbim de activităţile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non-agricole</w:t>
      </w:r>
      <w:r w:rsidR="00D9142E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65583E">
        <w:rPr>
          <w:rFonts w:ascii="Arial" w:hAnsi="Arial" w:cs="Arial"/>
          <w:color w:val="002060"/>
          <w:sz w:val="24"/>
          <w:szCs w:val="24"/>
          <w:lang w:val="ro-RO"/>
        </w:rPr>
        <w:t xml:space="preserve">ponderea 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>persoanel</w:t>
      </w:r>
      <w:r w:rsidR="0065583E">
        <w:rPr>
          <w:rFonts w:ascii="Arial" w:hAnsi="Arial" w:cs="Arial"/>
          <w:color w:val="002060"/>
          <w:sz w:val="24"/>
          <w:szCs w:val="24"/>
          <w:lang w:val="ro-RO"/>
        </w:rPr>
        <w:t>or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ocupate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în </w:t>
      </w:r>
      <w:r w:rsidR="007B51FF" w:rsidRPr="007B51FF">
        <w:rPr>
          <w:rFonts w:ascii="Arial" w:hAnsi="Arial" w:cs="Arial"/>
          <w:b/>
          <w:color w:val="002060"/>
          <w:sz w:val="24"/>
          <w:szCs w:val="24"/>
          <w:lang w:val="ro-RO"/>
        </w:rPr>
        <w:t>industrie</w:t>
      </w:r>
      <w:r w:rsidR="00D9142E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>ș</w:t>
      </w:r>
      <w:r w:rsidR="00FF5C6F">
        <w:rPr>
          <w:rFonts w:ascii="Arial" w:hAnsi="Arial" w:cs="Arial"/>
          <w:color w:val="002060"/>
          <w:sz w:val="24"/>
          <w:szCs w:val="24"/>
          <w:lang w:val="ro-RO"/>
        </w:rPr>
        <w:t xml:space="preserve">i </w:t>
      </w:r>
      <w:r w:rsidR="00FF5C6F" w:rsidRPr="007B51FF">
        <w:rPr>
          <w:rFonts w:ascii="Arial" w:hAnsi="Arial" w:cs="Arial"/>
          <w:b/>
          <w:color w:val="002060"/>
          <w:sz w:val="24"/>
          <w:szCs w:val="24"/>
          <w:lang w:val="ro-RO"/>
        </w:rPr>
        <w:t>construcţii</w:t>
      </w:r>
      <w:r w:rsidR="00FF5C6F">
        <w:rPr>
          <w:rFonts w:ascii="Arial" w:hAnsi="Arial" w:cs="Arial"/>
          <w:color w:val="002060"/>
          <w:sz w:val="24"/>
          <w:szCs w:val="24"/>
          <w:lang w:val="ro-RO"/>
        </w:rPr>
        <w:t xml:space="preserve"> au rămas la nivelul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anului precedent</w:t>
      </w:r>
      <w:r w:rsidR="00FF5C6F">
        <w:rPr>
          <w:rFonts w:ascii="Arial" w:hAnsi="Arial" w:cs="Arial"/>
          <w:color w:val="002060"/>
          <w:sz w:val="24"/>
          <w:szCs w:val="24"/>
          <w:lang w:val="ro-RO"/>
        </w:rPr>
        <w:t xml:space="preserve"> în industrie </w:t>
      </w:r>
      <w:r w:rsidR="00FF5C6F" w:rsidRPr="00FF5C6F">
        <w:rPr>
          <w:rFonts w:ascii="Arial" w:hAnsi="Arial" w:cs="Arial"/>
          <w:b/>
          <w:color w:val="002060"/>
          <w:sz w:val="24"/>
          <w:szCs w:val="24"/>
          <w:lang w:val="ro-RO"/>
        </w:rPr>
        <w:t>14,7%</w:t>
      </w:r>
      <w:r w:rsidR="00FF5C6F">
        <w:rPr>
          <w:rFonts w:ascii="Arial" w:hAnsi="Arial" w:cs="Arial"/>
          <w:color w:val="002060"/>
          <w:sz w:val="24"/>
          <w:szCs w:val="24"/>
          <w:lang w:val="ro-RO"/>
        </w:rPr>
        <w:t xml:space="preserve"> iar construcţii </w:t>
      </w:r>
      <w:r w:rsidR="00FF5C6F" w:rsidRPr="00F944D4">
        <w:rPr>
          <w:rFonts w:ascii="Arial" w:hAnsi="Arial" w:cs="Arial"/>
          <w:b/>
          <w:color w:val="002060"/>
          <w:sz w:val="24"/>
          <w:szCs w:val="24"/>
          <w:lang w:val="ro-RO"/>
        </w:rPr>
        <w:t>7%</w:t>
      </w:r>
      <w:r w:rsidR="00D9142E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65583E" w:rsidRPr="0065583E">
        <w:rPr>
          <w:rFonts w:ascii="Arial" w:hAnsi="Arial" w:cs="Arial"/>
          <w:color w:val="002060"/>
          <w:sz w:val="24"/>
          <w:szCs w:val="24"/>
          <w:lang w:val="ro-RO"/>
        </w:rPr>
        <w:t>iar în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sectorul </w:t>
      </w:r>
      <w:r w:rsidR="007B51FF" w:rsidRPr="007B51FF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servicii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putem menţiona o descreştere de </w:t>
      </w:r>
      <w:r w:rsidR="007B51FF" w:rsidRPr="007B51FF">
        <w:rPr>
          <w:rFonts w:ascii="Arial" w:hAnsi="Arial" w:cs="Arial"/>
          <w:b/>
          <w:color w:val="002060"/>
          <w:sz w:val="24"/>
          <w:szCs w:val="24"/>
          <w:lang w:val="ro-RO"/>
        </w:rPr>
        <w:t>9,8%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 faţă de anul 2019.</w:t>
      </w:r>
    </w:p>
    <w:p w:rsidR="00B64F98" w:rsidRDefault="00B64F98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b/>
          <w:color w:val="002060"/>
          <w:sz w:val="24"/>
          <w:szCs w:val="24"/>
          <w:lang w:val="ro-RO"/>
        </w:rPr>
      </w:pPr>
    </w:p>
    <w:p w:rsidR="00A927C2" w:rsidRPr="00A927C2" w:rsidRDefault="00A8051D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1F3864" w:themeColor="accent5" w:themeShade="80"/>
          <w:sz w:val="24"/>
          <w:szCs w:val="24"/>
          <w:lang w:val="ro-RO"/>
        </w:rPr>
      </w:pP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Numărul </w:t>
      </w:r>
      <w:r w:rsidR="00CD3F7D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șomeri</w:t>
      </w:r>
      <w:r w:rsidR="007F1DF5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lor</w:t>
      </w:r>
      <w:r w:rsidR="00445E9C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, </w:t>
      </w:r>
      <w:r w:rsidR="00445E9C" w:rsidRPr="00445E9C">
        <w:rPr>
          <w:rFonts w:ascii="Arial" w:hAnsi="Arial" w:cs="Arial"/>
          <w:color w:val="002060"/>
          <w:sz w:val="24"/>
          <w:szCs w:val="24"/>
          <w:lang w:val="ro-RO"/>
        </w:rPr>
        <w:t>estimat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 xml:space="preserve"> conform defini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>ţiei Biroului Internaţional al M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uncii (</w:t>
      </w:r>
      <w:r w:rsidR="00CD3F7D" w:rsidRPr="00445E9C">
        <w:rPr>
          <w:rFonts w:ascii="Arial" w:hAnsi="Arial" w:cs="Arial"/>
          <w:color w:val="002060"/>
          <w:sz w:val="24"/>
          <w:szCs w:val="24"/>
          <w:lang w:val="ro-RO"/>
        </w:rPr>
        <w:t>BIM</w:t>
      </w:r>
      <w:r w:rsidR="00445E9C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a constituit 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3</w:t>
      </w:r>
      <w:r w:rsidR="00DA389E">
        <w:rPr>
          <w:rFonts w:ascii="Arial" w:hAnsi="Arial" w:cs="Arial"/>
          <w:b/>
          <w:color w:val="002060"/>
          <w:sz w:val="24"/>
          <w:szCs w:val="24"/>
          <w:lang w:val="ro-RO"/>
        </w:rPr>
        <w:t>6,2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mii</w:t>
      </w:r>
      <w:r w:rsidR="007F1DF5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</w:t>
      </w:r>
      <w:r w:rsidR="00C2231D">
        <w:rPr>
          <w:rFonts w:ascii="Arial" w:hAnsi="Arial" w:cs="Arial"/>
          <w:color w:val="002060"/>
          <w:sz w:val="24"/>
          <w:szCs w:val="24"/>
          <w:lang w:val="ro-RO"/>
        </w:rPr>
        <w:t xml:space="preserve"> şi a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av</w:t>
      </w:r>
      <w:r w:rsidR="00C2231D">
        <w:rPr>
          <w:rFonts w:ascii="Arial" w:hAnsi="Arial" w:cs="Arial"/>
          <w:color w:val="002060"/>
          <w:sz w:val="24"/>
          <w:szCs w:val="24"/>
          <w:lang w:val="ro-RO"/>
        </w:rPr>
        <w:t xml:space="preserve">ut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tendinţ</w:t>
      </w:r>
      <w:r w:rsidR="00B17B93" w:rsidRPr="009E23F7">
        <w:rPr>
          <w:rFonts w:ascii="Arial" w:hAnsi="Arial" w:cs="Arial"/>
          <w:color w:val="002060"/>
          <w:sz w:val="24"/>
          <w:szCs w:val="24"/>
          <w:lang w:val="ro-RO"/>
        </w:rPr>
        <w:t>ă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de descreştere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DC190D"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DC190D"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cu </w:t>
      </w:r>
      <w:r w:rsidR="00C2231D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DA389E">
        <w:rPr>
          <w:rFonts w:ascii="Arial" w:hAnsi="Arial" w:cs="Arial"/>
          <w:b/>
          <w:color w:val="002060"/>
          <w:sz w:val="24"/>
          <w:szCs w:val="24"/>
          <w:lang w:val="ro-RO"/>
        </w:rPr>
        <w:t>4</w:t>
      </w:r>
      <w:r w:rsidR="00DC190D"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DC190D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comparativ cu </w:t>
      </w:r>
      <w:r w:rsidR="004B5130">
        <w:rPr>
          <w:rFonts w:ascii="Arial" w:hAnsi="Arial" w:cs="Arial"/>
          <w:color w:val="002060"/>
          <w:sz w:val="24"/>
          <w:szCs w:val="24"/>
          <w:lang w:val="ro-RO"/>
        </w:rPr>
        <w:t>trimestrul II 2019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42D57"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C2231D" w:rsidRPr="009D233A">
        <w:rPr>
          <w:rFonts w:ascii="Arial" w:hAnsi="Arial" w:cs="Arial"/>
          <w:b/>
          <w:color w:val="002060"/>
          <w:sz w:val="24"/>
          <w:szCs w:val="24"/>
          <w:lang w:val="ro-RO"/>
        </w:rPr>
        <w:t>42,0</w:t>
      </w:r>
      <w:r w:rsidRPr="009D233A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mii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D233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Totodată,</w:t>
      </w:r>
      <w:r w:rsidR="00A927C2" w:rsidRPr="00905C20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criza cauzată de COVID – 19 a dus la o majorare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</w:rPr>
        <w:t xml:space="preserve"> de  </w:t>
      </w:r>
      <w:r w:rsidR="00A927C2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4,9 %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a </w:t>
      </w:r>
      <w:r w:rsidR="00A927C2" w:rsidRPr="00A927C2">
        <w:rPr>
          <w:rFonts w:ascii="Arial" w:hAnsi="Arial" w:cs="Arial"/>
          <w:b/>
          <w:color w:val="1F3864" w:themeColor="accent5" w:themeShade="80"/>
          <w:sz w:val="24"/>
          <w:szCs w:val="24"/>
        </w:rPr>
        <w:t>p</w:t>
      </w:r>
      <w:r w:rsidR="00A927C2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opulaţiei în afara forţei de muncă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de 15 ani şi peste </w:t>
      </w:r>
      <w:r w:rsidR="00BD6D1C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de 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la </w:t>
      </w:r>
      <w:r w:rsidR="00A927C2" w:rsidRPr="00905C20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1232,2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mii persoane în trimestrul II 2019</w:t>
      </w:r>
      <w:r w:rsidR="00BB475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,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la </w:t>
      </w:r>
      <w:r w:rsidR="00A927C2" w:rsidRPr="00905C20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1293,2</w:t>
      </w:r>
      <w:r w:rsidR="00A927C2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mii persoane în trimestrul II 2020</w:t>
      </w:r>
      <w:r w:rsidR="00D837B1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.</w:t>
      </w:r>
    </w:p>
    <w:p w:rsidR="0043124A" w:rsidRPr="00A927C2" w:rsidRDefault="00A927C2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1F3864" w:themeColor="accent5" w:themeShade="80"/>
          <w:sz w:val="24"/>
          <w:szCs w:val="24"/>
          <w:lang w:val="ro-RO"/>
        </w:rPr>
      </w:pPr>
      <w:r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Un efect </w:t>
      </w:r>
      <w:r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negativ </w:t>
      </w:r>
      <w:r w:rsidR="003416B8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al pandemiei COVID-19</w:t>
      </w:r>
      <w:r w:rsidR="00905C20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,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</w:t>
      </w:r>
      <w:r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a constituit şi dublarea </w:t>
      </w:r>
      <w:r w:rsidR="00A9409D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numărul </w:t>
      </w:r>
      <w:r w:rsidR="00737454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şomeri</w:t>
      </w:r>
      <w:r w:rsidR="00A9409D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lor</w:t>
      </w:r>
      <w:r w:rsidR="00BF4CD9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înregistraţi în baza de date a Agenției Naționale pentru Ocuparea Forței de Muncă</w:t>
      </w:r>
      <w:r w:rsidR="00B53087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(ANOFM)</w:t>
      </w:r>
      <w:r w:rsidR="001E64A8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, </w:t>
      </w:r>
      <w:r w:rsidR="009D233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în </w:t>
      </w:r>
      <w:r w:rsidR="009439E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I semestru al anului </w:t>
      </w:r>
      <w:r w:rsidR="00B0052B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2020 (</w:t>
      </w:r>
      <w:r w:rsidR="00B0052B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28,2 mii</w:t>
      </w:r>
      <w:r w:rsidR="00B0052B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) în comparaţie cu perioad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a respectivă a anului precedent </w:t>
      </w:r>
      <w:r w:rsidR="009D233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(</w:t>
      </w:r>
      <w:r w:rsidR="00B0052B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14</w:t>
      </w:r>
      <w:r w:rsidR="009D233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,0 mii</w:t>
      </w:r>
      <w:r w:rsidR="009D233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)</w:t>
      </w:r>
      <w:r w:rsidR="001B49B4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,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</w:t>
      </w:r>
      <w:r w:rsidR="00D837B1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creştere</w:t>
      </w:r>
      <w:r w:rsidR="001B49B4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a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</w:t>
      </w:r>
      <w:r w:rsidR="00F86521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menţinîndu-se </w:t>
      </w:r>
      <w:r w:rsidR="00BD6D1C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ş</w:t>
      </w:r>
      <w:r w:rsidR="00F86521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i pe parcursul a 9 luni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</w:t>
      </w:r>
      <w:r w:rsidR="007B51FF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(</w:t>
      </w:r>
      <w:r w:rsidR="007B51FF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37,3 mii</w:t>
      </w:r>
      <w:r w:rsidR="007B51FF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)</w:t>
      </w:r>
      <w:r w:rsidR="0043124A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. </w:t>
      </w:r>
      <w:r w:rsidR="00D837B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Aceast</w:t>
      </w:r>
      <w:r w:rsidR="004202BF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ă</w:t>
      </w:r>
      <w:r w:rsidR="00D837B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creştere </w:t>
      </w:r>
      <w:r w:rsidR="001651D7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a mai fost </w:t>
      </w:r>
      <w:r w:rsidR="00D837B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influenţată şi de </w:t>
      </w:r>
      <w:r w:rsidR="002451C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acordarea ajutorului de șomaj lunar în cuantum de 2775 lei pe perioada stării de urgenţă</w:t>
      </w:r>
      <w:r w:rsidR="00C028B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,</w:t>
      </w:r>
      <w:r w:rsidR="002451C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persoanelor fără un loc de muncă sau care au pierdut locul de muncă </w:t>
      </w:r>
      <w:r w:rsidR="00D9142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în această perioadă</w:t>
      </w:r>
      <w:r w:rsidR="002451C1" w:rsidRPr="007474CE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. 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Din numărul şomerilor înregistraţi - </w:t>
      </w:r>
      <w:r w:rsidR="00732F7D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53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%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aveau vârsta cuprinsă între 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30-49 ani</w:t>
      </w:r>
      <w:r w:rsidR="007E7072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,</w:t>
      </w:r>
      <w:r w:rsidR="00D9142E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 xml:space="preserve"> 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2</w:t>
      </w:r>
      <w:r w:rsidR="00732F7D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9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 xml:space="preserve">% 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vârst</w:t>
      </w:r>
      <w:r w:rsidR="00905C20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>a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cuprinsă între 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50-63 ani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şi </w:t>
      </w:r>
      <w:r w:rsidR="007609DC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9%</w:t>
      </w:r>
      <w:r w:rsidR="007609DC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persoanele între </w:t>
      </w:r>
      <w:r w:rsidR="007609DC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25-29 ani</w:t>
      </w:r>
      <w:r w:rsidR="0043124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, la polul opus aflându-se </w:t>
      </w:r>
      <w:r w:rsidR="00AD50C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cei cu vârsta </w:t>
      </w:r>
      <w:r w:rsidR="00AD50CA" w:rsidRPr="00905C20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16-24</w:t>
      </w:r>
      <w:r w:rsidR="00AD50CA" w:rsidRPr="00A927C2">
        <w:rPr>
          <w:rFonts w:ascii="Arial" w:hAnsi="Arial" w:cs="Arial"/>
          <w:color w:val="1F3864" w:themeColor="accent5" w:themeShade="80"/>
          <w:sz w:val="24"/>
          <w:szCs w:val="24"/>
          <w:lang w:val="ro-RO"/>
        </w:rPr>
        <w:t xml:space="preserve"> ani cu </w:t>
      </w:r>
      <w:r w:rsidR="00AD50C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7%</w:t>
      </w:r>
      <w:r w:rsidR="0043124A" w:rsidRPr="00A927C2">
        <w:rPr>
          <w:rFonts w:ascii="Arial" w:hAnsi="Arial" w:cs="Arial"/>
          <w:b/>
          <w:color w:val="1F3864" w:themeColor="accent5" w:themeShade="80"/>
          <w:sz w:val="24"/>
          <w:szCs w:val="24"/>
          <w:lang w:val="ro-RO"/>
        </w:rPr>
        <w:t>.</w:t>
      </w:r>
    </w:p>
    <w:p w:rsidR="007B51FF" w:rsidRPr="009E23F7" w:rsidRDefault="0043124A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Conform 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studii</w:t>
      </w:r>
      <w:r>
        <w:rPr>
          <w:rFonts w:ascii="Arial" w:hAnsi="Arial" w:cs="Arial"/>
          <w:b/>
          <w:color w:val="002060"/>
          <w:sz w:val="24"/>
          <w:szCs w:val="24"/>
          <w:lang w:val="ro-RO"/>
        </w:rPr>
        <w:t>lor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din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numărul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total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de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șomeri înregistrați </w:t>
      </w:r>
      <w:r>
        <w:rPr>
          <w:rFonts w:ascii="Arial" w:hAnsi="Arial" w:cs="Arial"/>
          <w:color w:val="002060"/>
          <w:sz w:val="24"/>
          <w:szCs w:val="24"/>
          <w:lang w:val="ro-RO"/>
        </w:rPr>
        <w:t>la ANOFM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, o pondere mai mare au constituit persoanele cu studii primare/gimnaziale (</w:t>
      </w:r>
      <w:r w:rsidR="00D15107" w:rsidRPr="002476A8">
        <w:rPr>
          <w:rFonts w:ascii="Arial" w:hAnsi="Arial" w:cs="Arial"/>
          <w:b/>
          <w:color w:val="002060"/>
          <w:sz w:val="24"/>
          <w:szCs w:val="24"/>
          <w:lang w:val="ro-RO"/>
        </w:rPr>
        <w:t>46</w:t>
      </w:r>
      <w:r w:rsidRPr="002476A8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),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urmate de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cele cu studii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secundar-profesionale și colegiale/universitare </w:t>
      </w:r>
      <w:r w:rsidR="002476A8">
        <w:rPr>
          <w:rFonts w:ascii="Arial" w:hAnsi="Arial" w:cs="Arial"/>
          <w:color w:val="002060"/>
          <w:sz w:val="24"/>
          <w:szCs w:val="24"/>
          <w:lang w:val="ro-RO"/>
        </w:rPr>
        <w:t xml:space="preserve">a cite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D15107">
        <w:rPr>
          <w:rFonts w:ascii="Arial" w:hAnsi="Arial" w:cs="Arial"/>
          <w:b/>
          <w:color w:val="002060"/>
          <w:sz w:val="24"/>
          <w:szCs w:val="24"/>
          <w:lang w:val="ro-RO"/>
        </w:rPr>
        <w:t>9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%)</w:t>
      </w:r>
      <w:r w:rsidR="002476A8">
        <w:rPr>
          <w:rFonts w:ascii="Arial" w:hAnsi="Arial" w:cs="Arial"/>
          <w:color w:val="002060"/>
          <w:sz w:val="24"/>
          <w:szCs w:val="24"/>
          <w:lang w:val="ro-RO"/>
        </w:rPr>
        <w:t xml:space="preserve"> şi </w:t>
      </w:r>
      <w:r w:rsidR="002476A8" w:rsidRPr="009E23F7">
        <w:rPr>
          <w:rFonts w:ascii="Arial" w:hAnsi="Arial" w:cs="Arial"/>
          <w:color w:val="002060"/>
          <w:sz w:val="24"/>
          <w:szCs w:val="24"/>
          <w:lang w:val="ro-RO"/>
        </w:rPr>
        <w:t>studii liceale (</w:t>
      </w:r>
      <w:r w:rsidR="002476A8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2476A8">
        <w:rPr>
          <w:rFonts w:ascii="Arial" w:hAnsi="Arial" w:cs="Arial"/>
          <w:b/>
          <w:color w:val="002060"/>
          <w:sz w:val="24"/>
          <w:szCs w:val="24"/>
          <w:lang w:val="ro-RO"/>
        </w:rPr>
        <w:t>7</w:t>
      </w:r>
      <w:r w:rsidR="002476A8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2476A8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2476A8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>Se atestă o creștere a ponderii șomerilor înregistrați cu studii primare/gimnaziale și o scădere a ponderii celor cu studii colegiale/</w:t>
      </w:r>
      <w:r w:rsidR="007B51FF" w:rsidRPr="00DD124C">
        <w:rPr>
          <w:rFonts w:ascii="Arial" w:hAnsi="Arial" w:cs="Arial"/>
          <w:color w:val="002060"/>
          <w:sz w:val="24"/>
          <w:szCs w:val="24"/>
          <w:lang w:val="ro-RO"/>
        </w:rPr>
        <w:t>universitare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 w:rsidRPr="00DD124C">
        <w:rPr>
          <w:rFonts w:ascii="Arial" w:hAnsi="Arial" w:cs="Arial"/>
          <w:color w:val="002060"/>
          <w:sz w:val="24"/>
          <w:szCs w:val="24"/>
          <w:lang w:val="ro-RO"/>
        </w:rPr>
        <w:t>Nivelul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de instruire a persoanelor care apelează la serviciile ANOFM</w:t>
      </w:r>
      <w:r w:rsidR="00D9142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este tot 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mai scăzut,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ceea ce face 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>dificilă plasare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lor </w:t>
      </w:r>
      <w:r w:rsidR="007B51FF" w:rsidRPr="009E23F7">
        <w:rPr>
          <w:rFonts w:ascii="Arial" w:hAnsi="Arial" w:cs="Arial"/>
          <w:color w:val="002060"/>
          <w:sz w:val="24"/>
          <w:szCs w:val="24"/>
          <w:lang w:val="ro-RO"/>
        </w:rPr>
        <w:t>în câmpul muncii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="007B51FF" w:rsidRPr="00032BF6">
        <w:rPr>
          <w:rFonts w:ascii="Arial" w:hAnsi="Arial" w:cs="Arial"/>
          <w:b/>
          <w:color w:val="002060"/>
          <w:sz w:val="24"/>
          <w:szCs w:val="24"/>
          <w:lang w:val="ro-RO"/>
        </w:rPr>
        <w:t>3774</w:t>
      </w:r>
      <w:r w:rsidR="007B51FF">
        <w:rPr>
          <w:rFonts w:ascii="Arial" w:hAnsi="Arial" w:cs="Arial"/>
          <w:color w:val="002060"/>
          <w:sz w:val="24"/>
          <w:szCs w:val="24"/>
          <w:lang w:val="ro-RO"/>
        </w:rPr>
        <w:t xml:space="preserve">). </w:t>
      </w:r>
    </w:p>
    <w:p w:rsidR="00AA6C9B" w:rsidRDefault="00C212C9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Rata şomajului</w:t>
      </w:r>
      <w:r w:rsidR="00D9142E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1334EF">
        <w:rPr>
          <w:rFonts w:ascii="Arial" w:hAnsi="Arial" w:cs="Arial"/>
          <w:color w:val="002060"/>
          <w:sz w:val="24"/>
          <w:szCs w:val="24"/>
          <w:lang w:val="ro-RO"/>
        </w:rPr>
        <w:t xml:space="preserve">în trimestru II 2020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la nivel de ţară a înregistrat valoarea de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4</w:t>
      </w:r>
      <w:r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,</w:t>
      </w:r>
      <w:r w:rsidR="001334EF">
        <w:rPr>
          <w:rFonts w:ascii="Arial" w:hAnsi="Arial" w:cs="Arial"/>
          <w:b/>
          <w:color w:val="002060"/>
          <w:sz w:val="24"/>
          <w:szCs w:val="24"/>
          <w:lang w:val="ro-RO"/>
        </w:rPr>
        <w:t>2</w:t>
      </w:r>
      <w:r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0C2BC5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,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fiind mai mică faţă de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trimestrul II</w:t>
      </w:r>
      <w:r w:rsidR="001334EF">
        <w:rPr>
          <w:rFonts w:ascii="Arial" w:hAnsi="Arial" w:cs="Arial"/>
          <w:color w:val="002060"/>
          <w:sz w:val="24"/>
          <w:szCs w:val="24"/>
          <w:lang w:val="ro-RO"/>
        </w:rPr>
        <w:t xml:space="preserve"> 2019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>(4,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5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>%).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S-a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mărit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rata şomajului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în rândul tinerilor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cu vârsta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(15-24 ani)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de la </w:t>
      </w:r>
      <w:r w:rsidR="000F03A7" w:rsidRPr="000F03A7">
        <w:rPr>
          <w:rFonts w:ascii="Arial" w:hAnsi="Arial" w:cs="Arial"/>
          <w:b/>
          <w:color w:val="002060"/>
          <w:sz w:val="24"/>
          <w:szCs w:val="24"/>
          <w:lang w:val="ro-RO"/>
        </w:rPr>
        <w:t>8,3</w:t>
      </w:r>
      <w:r w:rsidR="00642E06" w:rsidRPr="000F03A7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1334EF">
        <w:rPr>
          <w:rFonts w:ascii="Arial" w:hAnsi="Arial" w:cs="Arial"/>
          <w:b/>
          <w:color w:val="002060"/>
          <w:sz w:val="24"/>
          <w:szCs w:val="24"/>
          <w:lang w:val="ro-RO"/>
        </w:rPr>
        <w:t>2,6</w:t>
      </w:r>
      <w:r w:rsidR="00E51C4D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95035D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0F03A7">
        <w:rPr>
          <w:rFonts w:ascii="Arial" w:hAnsi="Arial" w:cs="Arial"/>
          <w:color w:val="002060"/>
          <w:sz w:val="24"/>
          <w:szCs w:val="24"/>
          <w:lang w:val="ro-RO"/>
        </w:rPr>
        <w:t xml:space="preserve">iar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în categoria de vârstă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15-2</w:t>
      </w:r>
      <w:r w:rsidR="000F03A7">
        <w:rPr>
          <w:rFonts w:ascii="Arial" w:hAnsi="Arial" w:cs="Arial"/>
          <w:color w:val="002060"/>
          <w:sz w:val="24"/>
          <w:szCs w:val="24"/>
          <w:lang w:val="ro-RO"/>
        </w:rPr>
        <w:t>9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0F03A7">
        <w:rPr>
          <w:rFonts w:ascii="Arial" w:hAnsi="Arial" w:cs="Arial"/>
          <w:color w:val="002060"/>
          <w:sz w:val="24"/>
          <w:szCs w:val="24"/>
          <w:lang w:val="ro-RO"/>
        </w:rPr>
        <w:t xml:space="preserve">s-a micşorat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de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6,7</w:t>
      </w:r>
      <w:r w:rsidR="001330BD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la </w:t>
      </w:r>
      <w:r w:rsidR="000F03A7" w:rsidRPr="001330BD">
        <w:rPr>
          <w:rFonts w:ascii="Arial" w:hAnsi="Arial" w:cs="Arial"/>
          <w:b/>
          <w:color w:val="002060"/>
          <w:sz w:val="24"/>
          <w:szCs w:val="24"/>
          <w:lang w:val="ro-RO"/>
        </w:rPr>
        <w:t>5,6</w:t>
      </w:r>
      <w:r w:rsidR="001330BD" w:rsidRPr="001330BD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0F03A7">
        <w:rPr>
          <w:rFonts w:ascii="Arial" w:hAnsi="Arial" w:cs="Arial"/>
          <w:color w:val="002060"/>
          <w:sz w:val="24"/>
          <w:szCs w:val="24"/>
          <w:lang w:val="ro-RO"/>
        </w:rPr>
        <w:t>.</w:t>
      </w:r>
    </w:p>
    <w:p w:rsidR="00BB1B66" w:rsidRDefault="00642E06" w:rsidP="00B64F98">
      <w:pPr>
        <w:shd w:val="clear" w:color="auto" w:fill="FFFFFF" w:themeFill="background1"/>
        <w:spacing w:before="60" w:after="60" w:line="36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642E06">
        <w:rPr>
          <w:rFonts w:ascii="Arial" w:hAnsi="Arial" w:cs="Arial"/>
          <w:color w:val="002060"/>
          <w:sz w:val="24"/>
          <w:szCs w:val="24"/>
          <w:lang w:val="ro-RO"/>
        </w:rPr>
        <w:t>Dacă e să vorbim despre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E7072" w:rsidRPr="007E7072">
        <w:rPr>
          <w:rFonts w:ascii="Arial" w:hAnsi="Arial" w:cs="Arial"/>
          <w:color w:val="002060"/>
          <w:sz w:val="24"/>
          <w:szCs w:val="24"/>
          <w:lang w:val="ro-RO"/>
        </w:rPr>
        <w:t>t</w:t>
      </w:r>
      <w:r w:rsidR="00A9409D" w:rsidRPr="007E7072">
        <w:rPr>
          <w:rFonts w:ascii="Arial" w:hAnsi="Arial" w:cs="Arial"/>
          <w:color w:val="002060"/>
          <w:sz w:val="24"/>
          <w:szCs w:val="24"/>
          <w:lang w:val="ro-RO"/>
        </w:rPr>
        <w:t>ineri</w:t>
      </w:r>
      <w:r w:rsidR="007E7072">
        <w:rPr>
          <w:rFonts w:ascii="Arial" w:hAnsi="Arial" w:cs="Arial"/>
          <w:color w:val="002060"/>
          <w:sz w:val="24"/>
          <w:szCs w:val="24"/>
          <w:lang w:val="ro-RO"/>
        </w:rPr>
        <w:t>ii</w:t>
      </w:r>
      <w:r w:rsidR="00A9409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din grupul </w:t>
      </w:r>
      <w:r w:rsidR="00A9409D" w:rsidRPr="0094790D">
        <w:rPr>
          <w:rFonts w:ascii="Arial" w:hAnsi="Arial" w:cs="Arial"/>
          <w:b/>
          <w:color w:val="002060"/>
          <w:sz w:val="24"/>
          <w:szCs w:val="24"/>
          <w:lang w:val="ro-RO"/>
        </w:rPr>
        <w:t>NEET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>putem menţiona faptul</w:t>
      </w:r>
      <w:r w:rsidR="0095035D">
        <w:rPr>
          <w:rFonts w:ascii="Arial" w:hAnsi="Arial" w:cs="Arial"/>
          <w:color w:val="002060"/>
          <w:sz w:val="24"/>
          <w:szCs w:val="24"/>
          <w:lang w:val="ro-RO"/>
        </w:rPr>
        <w:t>,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că avem </w:t>
      </w:r>
      <w:r w:rsidR="008F1C0A">
        <w:rPr>
          <w:rFonts w:ascii="Arial" w:hAnsi="Arial" w:cs="Arial"/>
          <w:color w:val="002060"/>
          <w:sz w:val="24"/>
          <w:szCs w:val="24"/>
          <w:lang w:val="ro-RO"/>
        </w:rPr>
        <w:t xml:space="preserve">o </w:t>
      </w:r>
      <w:r w:rsidR="00AA6C9B">
        <w:rPr>
          <w:rFonts w:ascii="Arial" w:hAnsi="Arial" w:cs="Arial"/>
          <w:color w:val="002060"/>
          <w:sz w:val="24"/>
          <w:szCs w:val="24"/>
          <w:lang w:val="ro-RO"/>
        </w:rPr>
        <w:t>pondere</w:t>
      </w:r>
      <w:r w:rsidR="008F1C0A">
        <w:rPr>
          <w:rFonts w:ascii="Arial" w:hAnsi="Arial" w:cs="Arial"/>
          <w:color w:val="002060"/>
          <w:sz w:val="24"/>
          <w:szCs w:val="24"/>
          <w:lang w:val="ro-RO"/>
        </w:rPr>
        <w:t xml:space="preserve"> de </w:t>
      </w:r>
      <w:r w:rsidR="008F1C0A" w:rsidRPr="00AA6C9B">
        <w:rPr>
          <w:rFonts w:ascii="Arial" w:hAnsi="Arial" w:cs="Arial"/>
          <w:b/>
          <w:color w:val="002060"/>
          <w:sz w:val="24"/>
          <w:szCs w:val="24"/>
          <w:lang w:val="ro-RO"/>
        </w:rPr>
        <w:t>18,9%</w:t>
      </w:r>
      <w:r w:rsidR="0095035D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AA6C9B">
        <w:rPr>
          <w:rFonts w:ascii="Arial" w:hAnsi="Arial" w:cs="Arial"/>
          <w:color w:val="002060"/>
          <w:sz w:val="24"/>
          <w:szCs w:val="24"/>
          <w:lang w:val="ro-RO"/>
        </w:rPr>
        <w:t xml:space="preserve">in categoria de vârstă 15-24 ani, </w:t>
      </w:r>
      <w:r w:rsidR="008F1C0A" w:rsidRPr="00AA6C9B">
        <w:rPr>
          <w:rFonts w:ascii="Arial" w:hAnsi="Arial" w:cs="Arial"/>
          <w:b/>
          <w:color w:val="002060"/>
          <w:sz w:val="24"/>
          <w:szCs w:val="24"/>
          <w:lang w:val="ro-RO"/>
        </w:rPr>
        <w:t>27,6 %</w:t>
      </w:r>
      <w:r w:rsidR="00AA6C9B">
        <w:rPr>
          <w:rFonts w:ascii="Arial" w:hAnsi="Arial" w:cs="Arial"/>
          <w:color w:val="002060"/>
          <w:sz w:val="24"/>
          <w:szCs w:val="24"/>
          <w:lang w:val="ro-RO"/>
        </w:rPr>
        <w:t>în categoria de vârstă 15-29 ani</w:t>
      </w:r>
      <w:r w:rsidR="00905C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bookmarkStart w:id="0" w:name="_GoBack"/>
      <w:bookmarkEnd w:id="0"/>
      <w:r w:rsidR="00AA6C9B">
        <w:rPr>
          <w:rFonts w:ascii="Arial" w:hAnsi="Arial" w:cs="Arial"/>
          <w:color w:val="002060"/>
          <w:sz w:val="24"/>
          <w:szCs w:val="24"/>
          <w:lang w:val="ro-RO"/>
        </w:rPr>
        <w:t xml:space="preserve">şi </w:t>
      </w:r>
      <w:r w:rsidR="00AA6C9B" w:rsidRPr="00AA6C9B">
        <w:rPr>
          <w:rFonts w:ascii="Arial" w:hAnsi="Arial" w:cs="Arial"/>
          <w:b/>
          <w:color w:val="002060"/>
          <w:sz w:val="24"/>
          <w:szCs w:val="24"/>
          <w:lang w:val="ro-RO"/>
        </w:rPr>
        <w:t>32,6%</w:t>
      </w:r>
      <w:r w:rsidR="00AA6C9B">
        <w:rPr>
          <w:rFonts w:ascii="Arial" w:hAnsi="Arial" w:cs="Arial"/>
          <w:color w:val="002060"/>
          <w:sz w:val="24"/>
          <w:szCs w:val="24"/>
          <w:lang w:val="ro-RO"/>
        </w:rPr>
        <w:t xml:space="preserve"> în categoria de vârstă 15-34 ani. </w:t>
      </w:r>
    </w:p>
    <w:tbl>
      <w:tblPr>
        <w:tblStyle w:val="TableGrid"/>
        <w:tblW w:w="0" w:type="auto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6751"/>
      </w:tblGrid>
      <w:tr w:rsidR="00560F23" w:rsidTr="00560F23">
        <w:trPr>
          <w:trHeight w:val="2573"/>
        </w:trPr>
        <w:tc>
          <w:tcPr>
            <w:tcW w:w="3576" w:type="dxa"/>
          </w:tcPr>
          <w:p w:rsidR="00961FE6" w:rsidRDefault="00560F23" w:rsidP="00560F23">
            <w:pPr>
              <w:spacing w:before="60" w:after="60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38400" cy="182880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54" w:type="dxa"/>
          </w:tcPr>
          <w:p w:rsidR="00961FE6" w:rsidRDefault="00961FE6" w:rsidP="00B64F98">
            <w:pPr>
              <w:shd w:val="clear" w:color="auto" w:fill="FFFFFF" w:themeFill="background1"/>
              <w:spacing w:before="60" w:after="60"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În </w:t>
            </w:r>
            <w:r w:rsidR="007E7072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6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luni 20</w:t>
            </w:r>
            <w:r w:rsidR="007E7072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în baza de date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ANOFM</w:t>
            </w:r>
            <w:r w:rsidR="0095035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au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fost înregistrate </w:t>
            </w:r>
            <w:r w:rsidR="006971EF" w:rsidRPr="006971E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12467</w:t>
            </w:r>
            <w:r w:rsidR="0095035D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 xml:space="preserve">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locuri de muncă vacante</w:t>
            </w:r>
            <w:r w:rsidR="0095035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din care </w:t>
            </w:r>
            <w:r w:rsidR="006971EF" w:rsidRPr="006971E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67</w:t>
            </w:r>
            <w:r w:rsidRPr="006971E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au constituit locurile oferite muncitorilor și </w:t>
            </w:r>
            <w:r w:rsidR="006971EF" w:rsidRPr="006971E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33</w:t>
            </w:r>
            <w:r w:rsidRPr="006971E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specialiștilor.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Se atestă mari discrepanţe a cererii cu oferta forţei de muncă: 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8</w:t>
            </w:r>
            <w:r w:rsid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8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="0095035D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 xml:space="preserve"> 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din locurile vacante înregistrate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erau 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din mediu urban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,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iar 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1</w:t>
            </w:r>
            <w:r w:rsid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2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rural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, pe când şomerii au constituit </w:t>
            </w:r>
            <w:r w:rsidR="00337341" w:rsidRP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39</w:t>
            </w:r>
            <w:r w:rsidRP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urban şi </w:t>
            </w:r>
            <w:r w:rsidR="00337341" w:rsidRP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61</w:t>
            </w:r>
            <w:r w:rsidRPr="00337341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rural.</w:t>
            </w:r>
          </w:p>
        </w:tc>
      </w:tr>
    </w:tbl>
    <w:p w:rsidR="00211416" w:rsidRDefault="00211416" w:rsidP="008723B4">
      <w:pPr>
        <w:shd w:val="clear" w:color="auto" w:fill="FFFFFF" w:themeFill="background1"/>
        <w:spacing w:before="60" w:after="60" w:line="240" w:lineRule="auto"/>
        <w:ind w:left="-902"/>
        <w:jc w:val="center"/>
        <w:rPr>
          <w:rFonts w:ascii="Arial" w:hAnsi="Arial" w:cs="Arial"/>
          <w:color w:val="002060"/>
          <w:sz w:val="24"/>
          <w:szCs w:val="24"/>
          <w:lang w:val="ro-RO"/>
        </w:rPr>
      </w:pPr>
    </w:p>
    <w:p w:rsidR="009E38DF" w:rsidRDefault="00A21AA5" w:rsidP="00404140">
      <w:pPr>
        <w:shd w:val="clear" w:color="auto" w:fill="FFFFFF" w:themeFill="background1"/>
        <w:spacing w:before="60" w:after="60" w:line="240" w:lineRule="auto"/>
        <w:ind w:left="-902"/>
        <w:jc w:val="center"/>
        <w:rPr>
          <w:rFonts w:ascii="Arial" w:hAnsi="Arial" w:cs="Arial"/>
          <w:sz w:val="24"/>
          <w:szCs w:val="24"/>
          <w:lang w:val="ro-RO"/>
        </w:rPr>
      </w:pPr>
      <w:r w:rsidRPr="00887B85">
        <w:rPr>
          <w:rFonts w:ascii="Arial" w:hAnsi="Arial" w:cs="Arial"/>
          <w:b/>
          <w:color w:val="002060"/>
          <w:sz w:val="24"/>
          <w:szCs w:val="24"/>
          <w:lang w:val="ro-RO"/>
        </w:rPr>
        <w:t>Observatorul pieţei muncii</w:t>
      </w:r>
    </w:p>
    <w:sectPr w:rsidR="009E38DF" w:rsidSect="00887B85">
      <w:pgSz w:w="12240" w:h="15840"/>
      <w:pgMar w:top="270" w:right="850" w:bottom="180" w:left="1701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F0" w:rsidRDefault="00D34CF0" w:rsidP="00CD3F7D">
      <w:pPr>
        <w:spacing w:after="0" w:line="240" w:lineRule="auto"/>
      </w:pPr>
      <w:r>
        <w:separator/>
      </w:r>
    </w:p>
  </w:endnote>
  <w:endnote w:type="continuationSeparator" w:id="0">
    <w:p w:rsidR="00D34CF0" w:rsidRDefault="00D34CF0" w:rsidP="00CD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F0" w:rsidRDefault="00D34CF0" w:rsidP="00CD3F7D">
      <w:pPr>
        <w:spacing w:after="0" w:line="240" w:lineRule="auto"/>
      </w:pPr>
      <w:r>
        <w:separator/>
      </w:r>
    </w:p>
  </w:footnote>
  <w:footnote w:type="continuationSeparator" w:id="0">
    <w:p w:rsidR="00D34CF0" w:rsidRDefault="00D34CF0" w:rsidP="00CD3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881"/>
    <w:rsid w:val="00003A5B"/>
    <w:rsid w:val="00013696"/>
    <w:rsid w:val="00013750"/>
    <w:rsid w:val="00015895"/>
    <w:rsid w:val="00030C2B"/>
    <w:rsid w:val="00032BF6"/>
    <w:rsid w:val="000339D4"/>
    <w:rsid w:val="00033AFF"/>
    <w:rsid w:val="00035129"/>
    <w:rsid w:val="00037137"/>
    <w:rsid w:val="00037DD0"/>
    <w:rsid w:val="00040CEA"/>
    <w:rsid w:val="00045792"/>
    <w:rsid w:val="00051322"/>
    <w:rsid w:val="00081C41"/>
    <w:rsid w:val="00083B41"/>
    <w:rsid w:val="00096C17"/>
    <w:rsid w:val="000A1CC6"/>
    <w:rsid w:val="000C2BC5"/>
    <w:rsid w:val="000D307B"/>
    <w:rsid w:val="000D430F"/>
    <w:rsid w:val="000F03A7"/>
    <w:rsid w:val="00103907"/>
    <w:rsid w:val="0010398B"/>
    <w:rsid w:val="00107FF3"/>
    <w:rsid w:val="00111E20"/>
    <w:rsid w:val="001330BD"/>
    <w:rsid w:val="001334EF"/>
    <w:rsid w:val="001348B8"/>
    <w:rsid w:val="0013534A"/>
    <w:rsid w:val="00140CEC"/>
    <w:rsid w:val="00146172"/>
    <w:rsid w:val="00164EA1"/>
    <w:rsid w:val="001651D7"/>
    <w:rsid w:val="001668DB"/>
    <w:rsid w:val="00175CEA"/>
    <w:rsid w:val="001948BD"/>
    <w:rsid w:val="00197C6B"/>
    <w:rsid w:val="001A6FB1"/>
    <w:rsid w:val="001B368B"/>
    <w:rsid w:val="001B49B4"/>
    <w:rsid w:val="001C675B"/>
    <w:rsid w:val="001D4B29"/>
    <w:rsid w:val="001E1450"/>
    <w:rsid w:val="001E64A8"/>
    <w:rsid w:val="001E7503"/>
    <w:rsid w:val="00211416"/>
    <w:rsid w:val="00214DD1"/>
    <w:rsid w:val="00216DCF"/>
    <w:rsid w:val="00227945"/>
    <w:rsid w:val="002451C1"/>
    <w:rsid w:val="002476A8"/>
    <w:rsid w:val="00247795"/>
    <w:rsid w:val="0027044D"/>
    <w:rsid w:val="00274029"/>
    <w:rsid w:val="00290195"/>
    <w:rsid w:val="002933E2"/>
    <w:rsid w:val="002A5BDD"/>
    <w:rsid w:val="002B30FF"/>
    <w:rsid w:val="002C4272"/>
    <w:rsid w:val="002D21FB"/>
    <w:rsid w:val="002D719F"/>
    <w:rsid w:val="002D78AF"/>
    <w:rsid w:val="002D78B8"/>
    <w:rsid w:val="002E7984"/>
    <w:rsid w:val="002F407D"/>
    <w:rsid w:val="002F59DD"/>
    <w:rsid w:val="002F5F29"/>
    <w:rsid w:val="00301EAB"/>
    <w:rsid w:val="00302904"/>
    <w:rsid w:val="00316279"/>
    <w:rsid w:val="003233F9"/>
    <w:rsid w:val="0033262A"/>
    <w:rsid w:val="003331CD"/>
    <w:rsid w:val="00337341"/>
    <w:rsid w:val="00340523"/>
    <w:rsid w:val="003416B8"/>
    <w:rsid w:val="0034380D"/>
    <w:rsid w:val="003443F6"/>
    <w:rsid w:val="0035337D"/>
    <w:rsid w:val="00357EA2"/>
    <w:rsid w:val="00363C26"/>
    <w:rsid w:val="003715C1"/>
    <w:rsid w:val="003B3E02"/>
    <w:rsid w:val="003C1120"/>
    <w:rsid w:val="003D7218"/>
    <w:rsid w:val="003E4859"/>
    <w:rsid w:val="00404140"/>
    <w:rsid w:val="00416DBA"/>
    <w:rsid w:val="004202BF"/>
    <w:rsid w:val="00426D8B"/>
    <w:rsid w:val="00427403"/>
    <w:rsid w:val="0043124A"/>
    <w:rsid w:val="004312ED"/>
    <w:rsid w:val="00431B80"/>
    <w:rsid w:val="00445E9C"/>
    <w:rsid w:val="00453F80"/>
    <w:rsid w:val="0045506A"/>
    <w:rsid w:val="0046126D"/>
    <w:rsid w:val="00473B7F"/>
    <w:rsid w:val="004757CF"/>
    <w:rsid w:val="00482FB1"/>
    <w:rsid w:val="004A2F82"/>
    <w:rsid w:val="004B5130"/>
    <w:rsid w:val="004C74D8"/>
    <w:rsid w:val="004F2AA2"/>
    <w:rsid w:val="00500CE1"/>
    <w:rsid w:val="00507BD5"/>
    <w:rsid w:val="00517E7E"/>
    <w:rsid w:val="00530CAE"/>
    <w:rsid w:val="00531B3D"/>
    <w:rsid w:val="00537DCF"/>
    <w:rsid w:val="00543BE3"/>
    <w:rsid w:val="00557D5E"/>
    <w:rsid w:val="00560F23"/>
    <w:rsid w:val="005A6DC3"/>
    <w:rsid w:val="005B3DA1"/>
    <w:rsid w:val="005B45E0"/>
    <w:rsid w:val="005B52B6"/>
    <w:rsid w:val="005B54CF"/>
    <w:rsid w:val="005C1BFD"/>
    <w:rsid w:val="005C3A3F"/>
    <w:rsid w:val="005D3D98"/>
    <w:rsid w:val="005E52D6"/>
    <w:rsid w:val="00620A2E"/>
    <w:rsid w:val="00623B80"/>
    <w:rsid w:val="00642E06"/>
    <w:rsid w:val="00645019"/>
    <w:rsid w:val="0065583E"/>
    <w:rsid w:val="00683965"/>
    <w:rsid w:val="00690C21"/>
    <w:rsid w:val="00691614"/>
    <w:rsid w:val="006971EF"/>
    <w:rsid w:val="006A26B9"/>
    <w:rsid w:val="006B7B25"/>
    <w:rsid w:val="006D7CAB"/>
    <w:rsid w:val="006F5012"/>
    <w:rsid w:val="007010A5"/>
    <w:rsid w:val="00702FC8"/>
    <w:rsid w:val="007100A9"/>
    <w:rsid w:val="00711753"/>
    <w:rsid w:val="007127E9"/>
    <w:rsid w:val="00715CA3"/>
    <w:rsid w:val="00732F7D"/>
    <w:rsid w:val="00737454"/>
    <w:rsid w:val="00742D57"/>
    <w:rsid w:val="007474CE"/>
    <w:rsid w:val="00751095"/>
    <w:rsid w:val="00753D85"/>
    <w:rsid w:val="007609DC"/>
    <w:rsid w:val="00763413"/>
    <w:rsid w:val="00776675"/>
    <w:rsid w:val="007859FC"/>
    <w:rsid w:val="00791822"/>
    <w:rsid w:val="00793804"/>
    <w:rsid w:val="007975E9"/>
    <w:rsid w:val="007A6F18"/>
    <w:rsid w:val="007B018B"/>
    <w:rsid w:val="007B51FF"/>
    <w:rsid w:val="007C4B67"/>
    <w:rsid w:val="007E592E"/>
    <w:rsid w:val="007E7072"/>
    <w:rsid w:val="007F1BC8"/>
    <w:rsid w:val="007F1DF5"/>
    <w:rsid w:val="007F35AA"/>
    <w:rsid w:val="007F5CED"/>
    <w:rsid w:val="007F74EF"/>
    <w:rsid w:val="008032B6"/>
    <w:rsid w:val="008050E1"/>
    <w:rsid w:val="008204B5"/>
    <w:rsid w:val="00843C8C"/>
    <w:rsid w:val="00843CD7"/>
    <w:rsid w:val="008445BA"/>
    <w:rsid w:val="00865FCA"/>
    <w:rsid w:val="0086615D"/>
    <w:rsid w:val="008723B4"/>
    <w:rsid w:val="00887B85"/>
    <w:rsid w:val="00891C16"/>
    <w:rsid w:val="00894650"/>
    <w:rsid w:val="00896D6F"/>
    <w:rsid w:val="008A09B2"/>
    <w:rsid w:val="008A35E5"/>
    <w:rsid w:val="008C3904"/>
    <w:rsid w:val="008C7D72"/>
    <w:rsid w:val="008E397F"/>
    <w:rsid w:val="008F1C0A"/>
    <w:rsid w:val="008F24F9"/>
    <w:rsid w:val="009027B6"/>
    <w:rsid w:val="00903DBB"/>
    <w:rsid w:val="00905C20"/>
    <w:rsid w:val="0091242C"/>
    <w:rsid w:val="009220AB"/>
    <w:rsid w:val="00941D2C"/>
    <w:rsid w:val="009439EA"/>
    <w:rsid w:val="00945A8B"/>
    <w:rsid w:val="00945E69"/>
    <w:rsid w:val="0094790D"/>
    <w:rsid w:val="0095035D"/>
    <w:rsid w:val="00950F36"/>
    <w:rsid w:val="00961FE6"/>
    <w:rsid w:val="009765B8"/>
    <w:rsid w:val="009820E5"/>
    <w:rsid w:val="009C09F0"/>
    <w:rsid w:val="009D151E"/>
    <w:rsid w:val="009D233A"/>
    <w:rsid w:val="009D28F3"/>
    <w:rsid w:val="009E23F7"/>
    <w:rsid w:val="009E38DF"/>
    <w:rsid w:val="009E4ACF"/>
    <w:rsid w:val="00A00EE9"/>
    <w:rsid w:val="00A04FF2"/>
    <w:rsid w:val="00A1321D"/>
    <w:rsid w:val="00A21AA5"/>
    <w:rsid w:val="00A26A04"/>
    <w:rsid w:val="00A340FC"/>
    <w:rsid w:val="00A4129D"/>
    <w:rsid w:val="00A72A7D"/>
    <w:rsid w:val="00A8051D"/>
    <w:rsid w:val="00A87FD6"/>
    <w:rsid w:val="00A927C2"/>
    <w:rsid w:val="00A9409D"/>
    <w:rsid w:val="00A95442"/>
    <w:rsid w:val="00AA6C9B"/>
    <w:rsid w:val="00AB7339"/>
    <w:rsid w:val="00AD3E3F"/>
    <w:rsid w:val="00AD50CA"/>
    <w:rsid w:val="00AE4492"/>
    <w:rsid w:val="00AF0F6B"/>
    <w:rsid w:val="00AF7319"/>
    <w:rsid w:val="00B0052B"/>
    <w:rsid w:val="00B024CC"/>
    <w:rsid w:val="00B05416"/>
    <w:rsid w:val="00B07C83"/>
    <w:rsid w:val="00B14183"/>
    <w:rsid w:val="00B17B93"/>
    <w:rsid w:val="00B22B90"/>
    <w:rsid w:val="00B2392D"/>
    <w:rsid w:val="00B25189"/>
    <w:rsid w:val="00B41FDB"/>
    <w:rsid w:val="00B42212"/>
    <w:rsid w:val="00B4271B"/>
    <w:rsid w:val="00B53087"/>
    <w:rsid w:val="00B56DD7"/>
    <w:rsid w:val="00B620FB"/>
    <w:rsid w:val="00B64F98"/>
    <w:rsid w:val="00B702DC"/>
    <w:rsid w:val="00B7249B"/>
    <w:rsid w:val="00B84BC4"/>
    <w:rsid w:val="00B939D9"/>
    <w:rsid w:val="00BA082A"/>
    <w:rsid w:val="00BB1B66"/>
    <w:rsid w:val="00BB4752"/>
    <w:rsid w:val="00BC2A07"/>
    <w:rsid w:val="00BD3DDE"/>
    <w:rsid w:val="00BD6D1C"/>
    <w:rsid w:val="00BF46EB"/>
    <w:rsid w:val="00BF4CD9"/>
    <w:rsid w:val="00BF6920"/>
    <w:rsid w:val="00BF7248"/>
    <w:rsid w:val="00C028B2"/>
    <w:rsid w:val="00C05FDA"/>
    <w:rsid w:val="00C07189"/>
    <w:rsid w:val="00C10FD6"/>
    <w:rsid w:val="00C12194"/>
    <w:rsid w:val="00C212C9"/>
    <w:rsid w:val="00C2231D"/>
    <w:rsid w:val="00C37F9B"/>
    <w:rsid w:val="00C403F7"/>
    <w:rsid w:val="00C53131"/>
    <w:rsid w:val="00C54B48"/>
    <w:rsid w:val="00C575CE"/>
    <w:rsid w:val="00C7779B"/>
    <w:rsid w:val="00C8270E"/>
    <w:rsid w:val="00C96CB7"/>
    <w:rsid w:val="00CA214D"/>
    <w:rsid w:val="00CB11D8"/>
    <w:rsid w:val="00CB2973"/>
    <w:rsid w:val="00CD2035"/>
    <w:rsid w:val="00CD3F7D"/>
    <w:rsid w:val="00CD5ACE"/>
    <w:rsid w:val="00CE4D03"/>
    <w:rsid w:val="00CE5577"/>
    <w:rsid w:val="00CF3E6A"/>
    <w:rsid w:val="00D03B25"/>
    <w:rsid w:val="00D0459D"/>
    <w:rsid w:val="00D15107"/>
    <w:rsid w:val="00D27B4D"/>
    <w:rsid w:val="00D34CF0"/>
    <w:rsid w:val="00D37AC5"/>
    <w:rsid w:val="00D4015B"/>
    <w:rsid w:val="00D46DED"/>
    <w:rsid w:val="00D67B17"/>
    <w:rsid w:val="00D837B1"/>
    <w:rsid w:val="00D9142E"/>
    <w:rsid w:val="00D945FD"/>
    <w:rsid w:val="00D9603E"/>
    <w:rsid w:val="00DA389E"/>
    <w:rsid w:val="00DA3C50"/>
    <w:rsid w:val="00DB2835"/>
    <w:rsid w:val="00DC190D"/>
    <w:rsid w:val="00DD124C"/>
    <w:rsid w:val="00DE4EE2"/>
    <w:rsid w:val="00E36DE2"/>
    <w:rsid w:val="00E46976"/>
    <w:rsid w:val="00E51C4D"/>
    <w:rsid w:val="00E63C04"/>
    <w:rsid w:val="00E647BE"/>
    <w:rsid w:val="00EA547A"/>
    <w:rsid w:val="00EB0AD2"/>
    <w:rsid w:val="00EC21C4"/>
    <w:rsid w:val="00EC2AD3"/>
    <w:rsid w:val="00EC7067"/>
    <w:rsid w:val="00EC7677"/>
    <w:rsid w:val="00ED453E"/>
    <w:rsid w:val="00EE29E2"/>
    <w:rsid w:val="00F151A9"/>
    <w:rsid w:val="00F21272"/>
    <w:rsid w:val="00F222C4"/>
    <w:rsid w:val="00F37881"/>
    <w:rsid w:val="00F4552E"/>
    <w:rsid w:val="00F47E52"/>
    <w:rsid w:val="00F5087F"/>
    <w:rsid w:val="00F51D43"/>
    <w:rsid w:val="00F52ADE"/>
    <w:rsid w:val="00F53489"/>
    <w:rsid w:val="00F63337"/>
    <w:rsid w:val="00F86521"/>
    <w:rsid w:val="00F944D4"/>
    <w:rsid w:val="00FB3004"/>
    <w:rsid w:val="00FC6BC3"/>
    <w:rsid w:val="00FF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31F45"/>
  <w15:docId w15:val="{53ACC189-A9A8-4CE0-BD6D-E571CC8A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F7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3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7D"/>
  </w:style>
  <w:style w:type="paragraph" w:styleId="Footer">
    <w:name w:val="footer"/>
    <w:basedOn w:val="Normal"/>
    <w:link w:val="FooterChar"/>
    <w:uiPriority w:val="99"/>
    <w:unhideWhenUsed/>
    <w:rsid w:val="00CD3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7D"/>
  </w:style>
  <w:style w:type="paragraph" w:customStyle="1" w:styleId="Standard">
    <w:name w:val="Standard"/>
    <w:rsid w:val="00033A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E1"/>
    <w:rPr>
      <w:rFonts w:ascii="Segoe UI" w:hAnsi="Segoe UI" w:cs="Segoe UI"/>
      <w:sz w:val="18"/>
      <w:szCs w:val="18"/>
    </w:rPr>
  </w:style>
  <w:style w:type="table" w:customStyle="1" w:styleId="GridTable5Dark-Accent11">
    <w:name w:val="Grid Table 5 Dark - Accent 11"/>
    <w:basedOn w:val="TableNormal"/>
    <w:uiPriority w:val="50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948587308939384E-3"/>
          <c:y val="0"/>
          <c:w val="0.9951051412691061"/>
          <c:h val="0.800292110545005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plosion val="23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210-4894-A1AB-3686F8428F03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210-4894-A1AB-3686F8428F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locuri vacante urban</c:v>
                </c:pt>
                <c:pt idx="1">
                  <c:v>locuri vacante rural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10970</c:v>
                </c:pt>
                <c:pt idx="1">
                  <c:v>1496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10-4894-A1AB-3686F8428F0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7245-5664-42C9-85DD-3DF754F9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Dorina Gusan</cp:lastModifiedBy>
  <cp:revision>263</cp:revision>
  <cp:lastPrinted>2020-10-22T08:54:00Z</cp:lastPrinted>
  <dcterms:created xsi:type="dcterms:W3CDTF">2019-04-02T12:24:00Z</dcterms:created>
  <dcterms:modified xsi:type="dcterms:W3CDTF">2020-10-23T07:51:00Z</dcterms:modified>
</cp:coreProperties>
</file>