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717DC0" w:rsidRDefault="004D3A1B" w:rsidP="004D3A1B">
            <w:pPr>
              <w:jc w:val="center"/>
              <w:rPr>
                <w:rFonts w:eastAsia="Calibri"/>
                <w:b/>
                <w:lang w:val="ro-MD"/>
              </w:rPr>
            </w:pPr>
            <w:r w:rsidRPr="002C7DDD">
              <w:rPr>
                <w:b/>
                <w:color w:val="000000" w:themeColor="text1"/>
              </w:rPr>
              <w:t xml:space="preserve">Specialist principal </w:t>
            </w:r>
            <w:r w:rsidRPr="002C7DDD">
              <w:rPr>
                <w:b/>
                <w:color w:val="000000" w:themeColor="text1"/>
                <w:lang w:val="ro-RO"/>
              </w:rPr>
              <w:t xml:space="preserve">în </w:t>
            </w:r>
            <w:r w:rsidR="00444931">
              <w:rPr>
                <w:b/>
                <w:color w:val="000000" w:themeColor="text1"/>
                <w:lang w:val="ro-RO"/>
              </w:rPr>
              <w:t xml:space="preserve">Direcția </w:t>
            </w:r>
            <w:r w:rsidR="00717DC0" w:rsidRPr="00717DC0">
              <w:rPr>
                <w:rFonts w:eastAsia="Calibri"/>
                <w:b/>
                <w:lang w:val="ro-MD"/>
              </w:rPr>
              <w:t>planificare bugetar</w:t>
            </w:r>
            <w:r w:rsidR="00717DC0" w:rsidRPr="00717DC0">
              <w:rPr>
                <w:rFonts w:eastAsia="Calibri"/>
                <w:b/>
                <w:color w:val="000000" w:themeColor="text1"/>
                <w:lang w:val="ro-MD"/>
              </w:rPr>
              <w:t>ă</w:t>
            </w:r>
            <w:r w:rsidR="00717DC0" w:rsidRPr="00717DC0">
              <w:rPr>
                <w:rFonts w:eastAsia="Calibri"/>
                <w:b/>
                <w:lang w:val="ro-MD"/>
              </w:rPr>
              <w:t>, evident</w:t>
            </w:r>
            <w:r w:rsidR="00717DC0" w:rsidRPr="00717DC0">
              <w:rPr>
                <w:rFonts w:eastAsia="Calibri"/>
                <w:b/>
                <w:color w:val="000000" w:themeColor="text1"/>
                <w:lang w:val="ro-MD"/>
              </w:rPr>
              <w:t>ă</w:t>
            </w:r>
            <w:r w:rsidR="00717DC0" w:rsidRPr="00717DC0">
              <w:rPr>
                <w:rFonts w:eastAsia="Calibri"/>
                <w:b/>
                <w:lang w:val="ro-MD"/>
              </w:rPr>
              <w:t xml:space="preserve"> contabil</w:t>
            </w:r>
            <w:r w:rsidR="00717DC0" w:rsidRPr="00717DC0">
              <w:rPr>
                <w:rFonts w:eastAsia="Calibri"/>
                <w:b/>
                <w:color w:val="000000" w:themeColor="text1"/>
                <w:lang w:val="ro-MD"/>
              </w:rPr>
              <w:t>ă</w:t>
            </w:r>
            <w:r w:rsidR="00717DC0" w:rsidRPr="00717DC0">
              <w:rPr>
                <w:rFonts w:eastAsia="Calibri"/>
                <w:b/>
                <w:lang w:val="ro-MD"/>
              </w:rPr>
              <w:t xml:space="preserve"> si pl</w:t>
            </w:r>
            <w:r w:rsidR="00717DC0" w:rsidRPr="00717DC0">
              <w:rPr>
                <w:rFonts w:eastAsia="Calibri"/>
                <w:b/>
                <w:color w:val="000000" w:themeColor="text1"/>
                <w:lang w:val="ro-MD"/>
              </w:rPr>
              <w:t>ă</w:t>
            </w:r>
            <w:r w:rsidR="00717DC0" w:rsidRPr="00717DC0">
              <w:rPr>
                <w:rFonts w:eastAsia="Calibri"/>
                <w:b/>
                <w:lang w:val="ro-MD"/>
              </w:rPr>
              <w:t>ți</w:t>
            </w:r>
          </w:p>
          <w:p w:rsidR="004D3A1B" w:rsidRDefault="00717DC0" w:rsidP="004D3A1B">
            <w:pPr>
              <w:jc w:val="center"/>
              <w:rPr>
                <w:b/>
                <w:color w:val="000000" w:themeColor="text1"/>
                <w:lang w:val="ro-RO"/>
              </w:rPr>
            </w:pPr>
            <w:r w:rsidRPr="002C7DDD">
              <w:rPr>
                <w:b/>
                <w:color w:val="000000" w:themeColor="text1"/>
                <w:lang w:val="ro-RO"/>
              </w:rPr>
              <w:t xml:space="preserve"> </w:t>
            </w:r>
            <w:r w:rsidR="004D3A1B" w:rsidRPr="002C7DDD">
              <w:rPr>
                <w:b/>
                <w:color w:val="000000" w:themeColor="text1"/>
                <w:lang w:val="ro-RO"/>
              </w:rPr>
              <w:t xml:space="preserve">a </w:t>
            </w:r>
            <w:proofErr w:type="spellStart"/>
            <w:r w:rsidR="004D3A1B" w:rsidRPr="002C7DDD">
              <w:rPr>
                <w:b/>
                <w:color w:val="000000" w:themeColor="text1"/>
                <w:lang w:val="ro-RO"/>
              </w:rPr>
              <w:t>Agenţiei</w:t>
            </w:r>
            <w:proofErr w:type="spellEnd"/>
            <w:r w:rsidR="004D3A1B" w:rsidRPr="002C7DDD">
              <w:rPr>
                <w:b/>
                <w:color w:val="000000" w:themeColor="text1"/>
                <w:lang w:val="ro-RO"/>
              </w:rPr>
              <w:t xml:space="preserve"> Naționale</w:t>
            </w:r>
            <w:r w:rsidR="00801F51">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717DC0" w:rsidP="00801F51">
            <w:pPr>
              <w:jc w:val="both"/>
              <w:rPr>
                <w:rFonts w:eastAsia="Calibri"/>
                <w:color w:val="000000"/>
              </w:rPr>
            </w:pPr>
            <w:r>
              <w:rPr>
                <w:lang w:val="ro-MD"/>
              </w:rPr>
              <w:t xml:space="preserve">Asigurarea procedurii de planificare a mijloacelor bănești în domeniul retribuirii muncii </w:t>
            </w:r>
            <w:proofErr w:type="spellStart"/>
            <w:r>
              <w:t>și</w:t>
            </w:r>
            <w:proofErr w:type="spellEnd"/>
            <w:r>
              <w:t xml:space="preserve"> a </w:t>
            </w:r>
            <w:proofErr w:type="spellStart"/>
            <w:r>
              <w:t>cheltuielilor</w:t>
            </w:r>
            <w:proofErr w:type="spellEnd"/>
            <w:r>
              <w:t xml:space="preserve"> de </w:t>
            </w:r>
            <w:proofErr w:type="spellStart"/>
            <w:r>
              <w:t>întreținere</w:t>
            </w:r>
            <w:proofErr w:type="spellEnd"/>
            <w:r>
              <w:t xml:space="preserve"> a </w:t>
            </w:r>
            <w:proofErr w:type="spellStart"/>
            <w:r>
              <w:t>activității</w:t>
            </w:r>
            <w:proofErr w:type="spellEnd"/>
            <w:r>
              <w:t xml:space="preserve">. </w:t>
            </w:r>
            <w:r w:rsidRPr="00E877AE">
              <w:rPr>
                <w:lang w:val="ro-MD"/>
              </w:rPr>
              <w:t xml:space="preserve">Contribuirea la </w:t>
            </w:r>
            <w:proofErr w:type="spellStart"/>
            <w:r w:rsidRPr="00E877AE">
              <w:t>organizarea</w:t>
            </w:r>
            <w:proofErr w:type="spellEnd"/>
            <w:r w:rsidRPr="00E877AE">
              <w:t xml:space="preserve"> </w:t>
            </w:r>
            <w:proofErr w:type="spellStart"/>
            <w:r w:rsidRPr="00E877AE">
              <w:t>evidenţei</w:t>
            </w:r>
            <w:proofErr w:type="spellEnd"/>
            <w:r w:rsidRPr="00E877AE">
              <w:t xml:space="preserve"> </w:t>
            </w:r>
            <w:proofErr w:type="spellStart"/>
            <w:r w:rsidRPr="00E877AE">
              <w:t>contabile</w:t>
            </w:r>
            <w:proofErr w:type="spellEnd"/>
            <w:r w:rsidRPr="00E877AE">
              <w:t xml:space="preserve"> a </w:t>
            </w:r>
            <w:proofErr w:type="spellStart"/>
            <w:r w:rsidRPr="00E877AE">
              <w:t>activităţii</w:t>
            </w:r>
            <w:proofErr w:type="spellEnd"/>
            <w:r w:rsidRPr="00E877AE">
              <w:t xml:space="preserve"> </w:t>
            </w:r>
            <w:proofErr w:type="spellStart"/>
            <w:r w:rsidRPr="00E877AE">
              <w:t>economico-financiare</w:t>
            </w:r>
            <w:proofErr w:type="spellEnd"/>
            <w:r w:rsidRPr="00E877AE">
              <w:t>.</w:t>
            </w:r>
          </w:p>
          <w:p w:rsidR="00801F51" w:rsidRPr="002C7DDD" w:rsidRDefault="00801F51" w:rsidP="00801F51">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801F51" w:rsidRPr="00717DC0" w:rsidRDefault="00717DC0" w:rsidP="008B3F0C">
            <w:pPr>
              <w:pStyle w:val="NormalWeb"/>
              <w:numPr>
                <w:ilvl w:val="0"/>
                <w:numId w:val="23"/>
              </w:numPr>
              <w:jc w:val="left"/>
              <w:rPr>
                <w:color w:val="000000" w:themeColor="text1"/>
                <w:lang w:val="ro-RO"/>
              </w:rPr>
            </w:pPr>
            <w:proofErr w:type="spellStart"/>
            <w:r w:rsidRPr="00717DC0">
              <w:rPr>
                <w:color w:val="000000" w:themeColor="text1"/>
                <w:lang w:val="en-US"/>
              </w:rPr>
              <w:t>Participarea</w:t>
            </w:r>
            <w:proofErr w:type="spellEnd"/>
            <w:r w:rsidRPr="00717DC0">
              <w:rPr>
                <w:color w:val="000000" w:themeColor="text1"/>
                <w:lang w:val="en-US"/>
              </w:rPr>
              <w:t xml:space="preserve"> la </w:t>
            </w:r>
            <w:proofErr w:type="spellStart"/>
            <w:r w:rsidRPr="00717DC0">
              <w:rPr>
                <w:color w:val="000000" w:themeColor="text1"/>
                <w:lang w:val="en-US"/>
              </w:rPr>
              <w:t>elaborarea</w:t>
            </w:r>
            <w:proofErr w:type="spellEnd"/>
            <w:r w:rsidRPr="00717DC0">
              <w:rPr>
                <w:color w:val="000000" w:themeColor="text1"/>
                <w:lang w:val="en-US"/>
              </w:rPr>
              <w:t xml:space="preserve"> </w:t>
            </w:r>
            <w:proofErr w:type="spellStart"/>
            <w:r w:rsidRPr="00717DC0">
              <w:rPr>
                <w:color w:val="000000" w:themeColor="text1"/>
                <w:lang w:val="en-US"/>
              </w:rPr>
              <w:t>proiectului</w:t>
            </w:r>
            <w:proofErr w:type="spellEnd"/>
            <w:r w:rsidRPr="00717DC0">
              <w:rPr>
                <w:color w:val="000000" w:themeColor="text1"/>
                <w:lang w:val="en-US"/>
              </w:rPr>
              <w:t xml:space="preserve"> de </w:t>
            </w:r>
            <w:proofErr w:type="spellStart"/>
            <w:r w:rsidRPr="00717DC0">
              <w:rPr>
                <w:color w:val="000000" w:themeColor="text1"/>
                <w:lang w:val="en-US"/>
              </w:rPr>
              <w:t>buget</w:t>
            </w:r>
            <w:proofErr w:type="spellEnd"/>
            <w:r w:rsidRPr="00717DC0">
              <w:rPr>
                <w:color w:val="000000" w:themeColor="text1"/>
                <w:lang w:val="en-US"/>
              </w:rPr>
              <w:t xml:space="preserve"> a </w:t>
            </w:r>
            <w:proofErr w:type="spellStart"/>
            <w:r w:rsidRPr="00717DC0">
              <w:rPr>
                <w:color w:val="000000" w:themeColor="text1"/>
                <w:lang w:val="en-US"/>
              </w:rPr>
              <w:t>aparatului</w:t>
            </w:r>
            <w:proofErr w:type="spellEnd"/>
            <w:r w:rsidRPr="00717DC0">
              <w:rPr>
                <w:color w:val="000000" w:themeColor="text1"/>
                <w:lang w:val="en-US"/>
              </w:rPr>
              <w:t xml:space="preserve"> central </w:t>
            </w:r>
            <w:proofErr w:type="spellStart"/>
            <w:r w:rsidRPr="00717DC0">
              <w:rPr>
                <w:color w:val="000000" w:themeColor="text1"/>
                <w:lang w:val="en-US"/>
              </w:rPr>
              <w:t>și</w:t>
            </w:r>
            <w:proofErr w:type="spellEnd"/>
            <w:r w:rsidRPr="00717DC0">
              <w:rPr>
                <w:color w:val="000000" w:themeColor="text1"/>
                <w:lang w:val="en-US"/>
              </w:rPr>
              <w:t xml:space="preserve"> </w:t>
            </w:r>
            <w:proofErr w:type="spellStart"/>
            <w:r w:rsidRPr="00717DC0">
              <w:rPr>
                <w:color w:val="000000" w:themeColor="text1"/>
                <w:lang w:val="en-US"/>
              </w:rPr>
              <w:t>structurilor</w:t>
            </w:r>
            <w:proofErr w:type="spellEnd"/>
            <w:r w:rsidRPr="00717DC0">
              <w:rPr>
                <w:color w:val="000000" w:themeColor="text1"/>
                <w:lang w:val="en-US"/>
              </w:rPr>
              <w:t xml:space="preserve"> </w:t>
            </w:r>
            <w:proofErr w:type="spellStart"/>
            <w:r w:rsidRPr="00717DC0">
              <w:rPr>
                <w:color w:val="000000" w:themeColor="text1"/>
                <w:lang w:val="en-US"/>
              </w:rPr>
              <w:t>teritoriale</w:t>
            </w:r>
            <w:proofErr w:type="spellEnd"/>
            <w:r w:rsidRPr="00717DC0">
              <w:rPr>
                <w:color w:val="000000" w:themeColor="text1"/>
                <w:lang w:val="en-US"/>
              </w:rPr>
              <w:t xml:space="preserve"> la </w:t>
            </w:r>
            <w:proofErr w:type="spellStart"/>
            <w:proofErr w:type="gramStart"/>
            <w:r w:rsidRPr="00717DC0">
              <w:rPr>
                <w:color w:val="000000" w:themeColor="text1"/>
                <w:lang w:val="en-US"/>
              </w:rPr>
              <w:t>programul</w:t>
            </w:r>
            <w:proofErr w:type="spellEnd"/>
            <w:r w:rsidRPr="00717DC0">
              <w:rPr>
                <w:color w:val="000000" w:themeColor="text1"/>
                <w:lang w:val="en-US"/>
              </w:rPr>
              <w:t xml:space="preserve">  </w:t>
            </w:r>
            <w:r w:rsidRPr="00717DC0">
              <w:rPr>
                <w:rFonts w:eastAsia="Calibri"/>
                <w:color w:val="000000" w:themeColor="text1"/>
                <w:lang w:val="ro-MD"/>
              </w:rPr>
              <w:t>„</w:t>
            </w:r>
            <w:proofErr w:type="spellStart"/>
            <w:proofErr w:type="gramEnd"/>
            <w:r w:rsidRPr="00717DC0">
              <w:rPr>
                <w:color w:val="000000" w:themeColor="text1"/>
                <w:lang w:val="en-US"/>
              </w:rPr>
              <w:t>servicii</w:t>
            </w:r>
            <w:proofErr w:type="spellEnd"/>
            <w:r w:rsidRPr="00717DC0">
              <w:rPr>
                <w:color w:val="000000" w:themeColor="text1"/>
                <w:lang w:val="en-US"/>
              </w:rPr>
              <w:t xml:space="preserve"> </w:t>
            </w:r>
            <w:proofErr w:type="spellStart"/>
            <w:r w:rsidRPr="00717DC0">
              <w:rPr>
                <w:color w:val="000000" w:themeColor="text1"/>
                <w:lang w:val="en-US"/>
              </w:rPr>
              <w:t>generale</w:t>
            </w:r>
            <w:proofErr w:type="spellEnd"/>
            <w:r w:rsidRPr="00717DC0">
              <w:rPr>
                <w:color w:val="000000" w:themeColor="text1"/>
                <w:lang w:val="en-US"/>
              </w:rPr>
              <w:t xml:space="preserve"> </w:t>
            </w:r>
            <w:proofErr w:type="spellStart"/>
            <w:r w:rsidRPr="00717DC0">
              <w:rPr>
                <w:color w:val="000000" w:themeColor="text1"/>
                <w:lang w:val="en-US"/>
              </w:rPr>
              <w:t>în</w:t>
            </w:r>
            <w:proofErr w:type="spellEnd"/>
            <w:r w:rsidRPr="00717DC0">
              <w:rPr>
                <w:color w:val="000000" w:themeColor="text1"/>
                <w:lang w:val="en-US"/>
              </w:rPr>
              <w:t xml:space="preserve"> </w:t>
            </w:r>
            <w:proofErr w:type="spellStart"/>
            <w:r w:rsidRPr="00717DC0">
              <w:rPr>
                <w:color w:val="000000" w:themeColor="text1"/>
                <w:lang w:val="en-US"/>
              </w:rPr>
              <w:t>domeniul</w:t>
            </w:r>
            <w:proofErr w:type="spellEnd"/>
            <w:r w:rsidRPr="00717DC0">
              <w:rPr>
                <w:color w:val="000000" w:themeColor="text1"/>
                <w:lang w:val="en-US"/>
              </w:rPr>
              <w:t xml:space="preserve"> </w:t>
            </w:r>
            <w:proofErr w:type="spellStart"/>
            <w:r w:rsidRPr="00717DC0">
              <w:rPr>
                <w:color w:val="000000" w:themeColor="text1"/>
                <w:lang w:val="en-US"/>
              </w:rPr>
              <w:t>forței</w:t>
            </w:r>
            <w:proofErr w:type="spellEnd"/>
            <w:r w:rsidRPr="00717DC0">
              <w:rPr>
                <w:color w:val="000000" w:themeColor="text1"/>
                <w:lang w:val="en-US"/>
              </w:rPr>
              <w:t xml:space="preserve"> de </w:t>
            </w:r>
            <w:proofErr w:type="spellStart"/>
            <w:r w:rsidRPr="00717DC0">
              <w:rPr>
                <w:color w:val="000000" w:themeColor="text1"/>
                <w:lang w:val="en-US"/>
              </w:rPr>
              <w:t>muncă</w:t>
            </w:r>
            <w:proofErr w:type="spellEnd"/>
            <w:r w:rsidRPr="00717DC0">
              <w:rPr>
                <w:rFonts w:eastAsia="Calibri"/>
                <w:color w:val="000000" w:themeColor="text1"/>
                <w:lang w:val="ro-MD"/>
              </w:rPr>
              <w:t>”</w:t>
            </w:r>
            <w:r w:rsidRPr="00717DC0">
              <w:rPr>
                <w:color w:val="000000" w:themeColor="text1"/>
                <w:lang w:val="en-US"/>
              </w:rPr>
              <w:t xml:space="preserve"> </w:t>
            </w:r>
            <w:proofErr w:type="spellStart"/>
            <w:r w:rsidRPr="00717DC0">
              <w:rPr>
                <w:color w:val="000000" w:themeColor="text1"/>
                <w:lang w:val="en-US"/>
              </w:rPr>
              <w:t>în</w:t>
            </w:r>
            <w:proofErr w:type="spellEnd"/>
            <w:r w:rsidRPr="00717DC0">
              <w:rPr>
                <w:color w:val="000000" w:themeColor="text1"/>
                <w:lang w:val="en-US"/>
              </w:rPr>
              <w:t xml:space="preserve"> </w:t>
            </w:r>
            <w:proofErr w:type="spellStart"/>
            <w:r w:rsidRPr="00717DC0">
              <w:rPr>
                <w:color w:val="000000" w:themeColor="text1"/>
                <w:lang w:val="en-US"/>
              </w:rPr>
              <w:t>domeniul</w:t>
            </w:r>
            <w:proofErr w:type="spellEnd"/>
            <w:r w:rsidRPr="00717DC0">
              <w:rPr>
                <w:color w:val="000000" w:themeColor="text1"/>
                <w:lang w:val="en-US"/>
              </w:rPr>
              <w:t xml:space="preserve"> </w:t>
            </w:r>
            <w:proofErr w:type="spellStart"/>
            <w:r w:rsidRPr="00717DC0">
              <w:rPr>
                <w:color w:val="000000" w:themeColor="text1"/>
                <w:lang w:val="en-US"/>
              </w:rPr>
              <w:t>retribuirii</w:t>
            </w:r>
            <w:proofErr w:type="spellEnd"/>
            <w:r w:rsidRPr="00717DC0">
              <w:rPr>
                <w:color w:val="000000" w:themeColor="text1"/>
                <w:lang w:val="en-US"/>
              </w:rPr>
              <w:t xml:space="preserve"> </w:t>
            </w:r>
            <w:proofErr w:type="spellStart"/>
            <w:r w:rsidRPr="00717DC0">
              <w:rPr>
                <w:color w:val="000000" w:themeColor="text1"/>
                <w:lang w:val="en-US"/>
              </w:rPr>
              <w:t>muncii</w:t>
            </w:r>
            <w:proofErr w:type="spellEnd"/>
            <w:r w:rsidRPr="00717DC0">
              <w:rPr>
                <w:color w:val="000000" w:themeColor="text1"/>
                <w:lang w:val="en-US"/>
              </w:rPr>
              <w:t xml:space="preserve">, </w:t>
            </w:r>
            <w:proofErr w:type="spellStart"/>
            <w:r w:rsidRPr="00717DC0">
              <w:rPr>
                <w:lang w:val="en-US"/>
              </w:rPr>
              <w:t>cheltuielilor</w:t>
            </w:r>
            <w:proofErr w:type="spellEnd"/>
            <w:r w:rsidRPr="00717DC0">
              <w:rPr>
                <w:lang w:val="en-US"/>
              </w:rPr>
              <w:t xml:space="preserve"> de </w:t>
            </w:r>
            <w:proofErr w:type="spellStart"/>
            <w:r w:rsidRPr="00717DC0">
              <w:rPr>
                <w:lang w:val="en-US"/>
              </w:rPr>
              <w:t>întreținere</w:t>
            </w:r>
            <w:proofErr w:type="spellEnd"/>
            <w:r w:rsidRPr="00717DC0">
              <w:rPr>
                <w:lang w:val="en-US"/>
              </w:rPr>
              <w:t xml:space="preserve"> a </w:t>
            </w:r>
            <w:proofErr w:type="spellStart"/>
            <w:r w:rsidRPr="00717DC0">
              <w:rPr>
                <w:lang w:val="en-US"/>
              </w:rPr>
              <w:t>activității</w:t>
            </w:r>
            <w:proofErr w:type="spellEnd"/>
            <w:r w:rsidRPr="00717DC0">
              <w:rPr>
                <w:color w:val="000000" w:themeColor="text1"/>
                <w:lang w:val="en-US"/>
              </w:rPr>
              <w:t>.</w:t>
            </w:r>
            <w:r w:rsidR="00801F51" w:rsidRPr="00717DC0">
              <w:rPr>
                <w:color w:val="000000" w:themeColor="text1"/>
                <w:lang w:val="ro-RO"/>
              </w:rPr>
              <w:t>;</w:t>
            </w:r>
          </w:p>
          <w:p w:rsidR="00801F51" w:rsidRPr="00717DC0" w:rsidRDefault="00717DC0" w:rsidP="008B3F0C">
            <w:pPr>
              <w:pStyle w:val="NormalWeb"/>
              <w:numPr>
                <w:ilvl w:val="0"/>
                <w:numId w:val="23"/>
              </w:numPr>
              <w:jc w:val="left"/>
              <w:rPr>
                <w:color w:val="000000" w:themeColor="text1"/>
                <w:lang w:val="ro-RO"/>
              </w:rPr>
            </w:pPr>
            <w:r w:rsidRPr="00717DC0">
              <w:rPr>
                <w:rFonts w:eastAsia="Calibri"/>
                <w:color w:val="000000" w:themeColor="text1"/>
                <w:lang w:val="ro-RO"/>
              </w:rPr>
              <w:t xml:space="preserve">Efectuarea operațiunilor bancare, tranzacțiilor </w:t>
            </w:r>
            <w:proofErr w:type="spellStart"/>
            <w:r w:rsidRPr="00717DC0">
              <w:rPr>
                <w:rFonts w:eastAsia="Calibri"/>
                <w:color w:val="000000" w:themeColor="text1"/>
                <w:lang w:val="ro-RO"/>
              </w:rPr>
              <w:t>economico</w:t>
            </w:r>
            <w:proofErr w:type="spellEnd"/>
            <w:r w:rsidRPr="00717DC0">
              <w:rPr>
                <w:rFonts w:eastAsia="Calibri"/>
                <w:color w:val="000000" w:themeColor="text1"/>
                <w:lang w:val="ro-RO"/>
              </w:rPr>
              <w:t>-financiare cu furnizorii de servicii pentru întreținerea activității de bază a aparatului central și structurilor teritoriale</w:t>
            </w:r>
            <w:r w:rsidR="00801F51" w:rsidRPr="00717DC0">
              <w:rPr>
                <w:rFonts w:eastAsia="Calibri"/>
                <w:color w:val="000000"/>
                <w:lang w:val="ro-RO"/>
              </w:rPr>
              <w:t>;</w:t>
            </w:r>
          </w:p>
          <w:p w:rsidR="00801F51" w:rsidRPr="00717DC0" w:rsidRDefault="00717DC0" w:rsidP="008B3F0C">
            <w:pPr>
              <w:pStyle w:val="NormalWeb"/>
              <w:numPr>
                <w:ilvl w:val="0"/>
                <w:numId w:val="23"/>
              </w:numPr>
              <w:jc w:val="left"/>
              <w:rPr>
                <w:color w:val="000000" w:themeColor="text1"/>
                <w:lang w:val="ro-RO"/>
              </w:rPr>
            </w:pPr>
            <w:proofErr w:type="spellStart"/>
            <w:r w:rsidRPr="00717DC0">
              <w:rPr>
                <w:color w:val="000000" w:themeColor="text1"/>
                <w:lang w:val="en-US"/>
              </w:rPr>
              <w:t>Efectuarea</w:t>
            </w:r>
            <w:proofErr w:type="spellEnd"/>
            <w:r w:rsidRPr="00717DC0">
              <w:rPr>
                <w:color w:val="000000" w:themeColor="text1"/>
                <w:lang w:val="en-US"/>
              </w:rPr>
              <w:t xml:space="preserve"> </w:t>
            </w:r>
            <w:proofErr w:type="spellStart"/>
            <w:r w:rsidRPr="00717DC0">
              <w:rPr>
                <w:color w:val="000000" w:themeColor="text1"/>
                <w:lang w:val="en-US"/>
              </w:rPr>
              <w:t>operațiunilor</w:t>
            </w:r>
            <w:proofErr w:type="spellEnd"/>
            <w:r w:rsidRPr="00717DC0">
              <w:rPr>
                <w:color w:val="000000" w:themeColor="text1"/>
                <w:lang w:val="en-US"/>
              </w:rPr>
              <w:t xml:space="preserve"> </w:t>
            </w:r>
            <w:proofErr w:type="spellStart"/>
            <w:r w:rsidRPr="00717DC0">
              <w:rPr>
                <w:color w:val="000000" w:themeColor="text1"/>
                <w:lang w:val="en-US"/>
              </w:rPr>
              <w:t>economice</w:t>
            </w:r>
            <w:proofErr w:type="spellEnd"/>
            <w:r w:rsidRPr="00717DC0">
              <w:rPr>
                <w:color w:val="000000" w:themeColor="text1"/>
                <w:lang w:val="en-US"/>
              </w:rPr>
              <w:t xml:space="preserve"> conform </w:t>
            </w:r>
            <w:proofErr w:type="spellStart"/>
            <w:r w:rsidRPr="00717DC0">
              <w:rPr>
                <w:color w:val="000000" w:themeColor="text1"/>
                <w:lang w:val="en-US"/>
              </w:rPr>
              <w:t>clasificației</w:t>
            </w:r>
            <w:proofErr w:type="spellEnd"/>
            <w:r w:rsidRPr="00717DC0">
              <w:rPr>
                <w:color w:val="000000" w:themeColor="text1"/>
                <w:lang w:val="en-US"/>
              </w:rPr>
              <w:t xml:space="preserve"> </w:t>
            </w:r>
            <w:proofErr w:type="spellStart"/>
            <w:r w:rsidRPr="00717DC0">
              <w:rPr>
                <w:color w:val="000000" w:themeColor="text1"/>
                <w:lang w:val="en-US"/>
              </w:rPr>
              <w:t>economice</w:t>
            </w:r>
            <w:proofErr w:type="spellEnd"/>
            <w:r w:rsidRPr="00717DC0">
              <w:rPr>
                <w:color w:val="000000" w:themeColor="text1"/>
                <w:lang w:val="en-US"/>
              </w:rPr>
              <w:t xml:space="preserve"> </w:t>
            </w:r>
            <w:proofErr w:type="spellStart"/>
            <w:r w:rsidRPr="00717DC0">
              <w:rPr>
                <w:color w:val="000000" w:themeColor="text1"/>
                <w:lang w:val="en-US"/>
              </w:rPr>
              <w:t>bugetare</w:t>
            </w:r>
            <w:proofErr w:type="spellEnd"/>
            <w:r w:rsidRPr="00717DC0">
              <w:rPr>
                <w:color w:val="000000" w:themeColor="text1"/>
                <w:lang w:val="en-US"/>
              </w:rPr>
              <w:t xml:space="preserve"> </w:t>
            </w:r>
            <w:proofErr w:type="spellStart"/>
            <w:r w:rsidRPr="00717DC0">
              <w:rPr>
                <w:color w:val="000000" w:themeColor="text1"/>
                <w:lang w:val="en-US"/>
              </w:rPr>
              <w:t>ce</w:t>
            </w:r>
            <w:proofErr w:type="spellEnd"/>
            <w:r w:rsidRPr="00717DC0">
              <w:rPr>
                <w:color w:val="000000" w:themeColor="text1"/>
                <w:lang w:val="en-US"/>
              </w:rPr>
              <w:t xml:space="preserve"> </w:t>
            </w:r>
            <w:proofErr w:type="spellStart"/>
            <w:r w:rsidRPr="00717DC0">
              <w:rPr>
                <w:color w:val="000000" w:themeColor="text1"/>
                <w:lang w:val="en-US"/>
              </w:rPr>
              <w:t>ține</w:t>
            </w:r>
            <w:proofErr w:type="spellEnd"/>
            <w:r w:rsidRPr="00717DC0">
              <w:rPr>
                <w:color w:val="000000" w:themeColor="text1"/>
                <w:lang w:val="en-US"/>
              </w:rPr>
              <w:t xml:space="preserve"> de </w:t>
            </w:r>
            <w:proofErr w:type="spellStart"/>
            <w:r w:rsidRPr="00717DC0">
              <w:rPr>
                <w:color w:val="000000" w:themeColor="text1"/>
                <w:lang w:val="en-US"/>
              </w:rPr>
              <w:t>contractele</w:t>
            </w:r>
            <w:proofErr w:type="spellEnd"/>
            <w:r w:rsidRPr="00717DC0">
              <w:rPr>
                <w:color w:val="000000" w:themeColor="text1"/>
                <w:lang w:val="en-US"/>
              </w:rPr>
              <w:t xml:space="preserve"> de </w:t>
            </w:r>
            <w:proofErr w:type="spellStart"/>
            <w:r w:rsidRPr="00717DC0">
              <w:rPr>
                <w:color w:val="000000" w:themeColor="text1"/>
                <w:lang w:val="en-US"/>
              </w:rPr>
              <w:t>servicii</w:t>
            </w:r>
            <w:proofErr w:type="spellEnd"/>
            <w:r w:rsidRPr="00717DC0">
              <w:rPr>
                <w:color w:val="000000" w:themeColor="text1"/>
                <w:lang w:val="en-US"/>
              </w:rPr>
              <w:t xml:space="preserve"> </w:t>
            </w:r>
            <w:proofErr w:type="spellStart"/>
            <w:r w:rsidRPr="00717DC0">
              <w:rPr>
                <w:color w:val="000000" w:themeColor="text1"/>
                <w:lang w:val="en-US"/>
              </w:rPr>
              <w:t>comunale</w:t>
            </w:r>
            <w:proofErr w:type="spellEnd"/>
            <w:r w:rsidRPr="00717DC0">
              <w:rPr>
                <w:color w:val="000000" w:themeColor="text1"/>
                <w:lang w:val="en-US"/>
              </w:rPr>
              <w:t xml:space="preserve"> a </w:t>
            </w:r>
            <w:proofErr w:type="spellStart"/>
            <w:r w:rsidRPr="00717DC0">
              <w:rPr>
                <w:color w:val="000000" w:themeColor="text1"/>
                <w:lang w:val="en-US"/>
              </w:rPr>
              <w:t>structurilor</w:t>
            </w:r>
            <w:proofErr w:type="spellEnd"/>
            <w:r w:rsidRPr="00717DC0">
              <w:rPr>
                <w:color w:val="000000" w:themeColor="text1"/>
                <w:lang w:val="en-US"/>
              </w:rPr>
              <w:t xml:space="preserve"> </w:t>
            </w:r>
            <w:proofErr w:type="spellStart"/>
            <w:r w:rsidRPr="00717DC0">
              <w:rPr>
                <w:color w:val="000000" w:themeColor="text1"/>
                <w:lang w:val="en-US"/>
              </w:rPr>
              <w:t>și</w:t>
            </w:r>
            <w:proofErr w:type="spellEnd"/>
            <w:r w:rsidRPr="00717DC0">
              <w:rPr>
                <w:color w:val="000000" w:themeColor="text1"/>
                <w:lang w:val="en-US"/>
              </w:rPr>
              <w:t xml:space="preserve"> a </w:t>
            </w:r>
            <w:proofErr w:type="spellStart"/>
            <w:r w:rsidRPr="00717DC0">
              <w:rPr>
                <w:color w:val="000000" w:themeColor="text1"/>
                <w:lang w:val="en-US"/>
              </w:rPr>
              <w:t>aparatului</w:t>
            </w:r>
            <w:proofErr w:type="spellEnd"/>
            <w:r w:rsidRPr="00717DC0">
              <w:rPr>
                <w:color w:val="000000" w:themeColor="text1"/>
                <w:lang w:val="en-US"/>
              </w:rPr>
              <w:t xml:space="preserve"> central, </w:t>
            </w:r>
            <w:proofErr w:type="spellStart"/>
            <w:r w:rsidRPr="00717DC0">
              <w:rPr>
                <w:color w:val="000000" w:themeColor="text1"/>
                <w:lang w:val="en-US"/>
              </w:rPr>
              <w:t>înregistrarea</w:t>
            </w:r>
            <w:proofErr w:type="spellEnd"/>
            <w:r w:rsidRPr="00717DC0">
              <w:rPr>
                <w:color w:val="000000" w:themeColor="text1"/>
                <w:lang w:val="en-US"/>
              </w:rPr>
              <w:t xml:space="preserve"> </w:t>
            </w:r>
            <w:proofErr w:type="spellStart"/>
            <w:r w:rsidRPr="00717DC0">
              <w:rPr>
                <w:color w:val="000000" w:themeColor="text1"/>
                <w:lang w:val="en-US"/>
              </w:rPr>
              <w:t>lor</w:t>
            </w:r>
            <w:proofErr w:type="spellEnd"/>
            <w:r w:rsidRPr="00717DC0">
              <w:rPr>
                <w:color w:val="000000" w:themeColor="text1"/>
                <w:lang w:val="en-US"/>
              </w:rPr>
              <w:t xml:space="preserve"> la </w:t>
            </w:r>
            <w:proofErr w:type="spellStart"/>
            <w:r w:rsidRPr="00717DC0">
              <w:rPr>
                <w:color w:val="000000" w:themeColor="text1"/>
                <w:lang w:val="en-US"/>
              </w:rPr>
              <w:t>Trezoreria</w:t>
            </w:r>
            <w:proofErr w:type="spellEnd"/>
            <w:r w:rsidRPr="00717DC0">
              <w:rPr>
                <w:color w:val="000000" w:themeColor="text1"/>
                <w:lang w:val="en-US"/>
              </w:rPr>
              <w:t xml:space="preserve"> regional </w:t>
            </w:r>
            <w:proofErr w:type="spellStart"/>
            <w:r w:rsidRPr="00717DC0">
              <w:rPr>
                <w:color w:val="000000" w:themeColor="text1"/>
                <w:lang w:val="en-US"/>
              </w:rPr>
              <w:t>Chișinău</w:t>
            </w:r>
            <w:proofErr w:type="spellEnd"/>
            <w:r w:rsidR="00801F51" w:rsidRPr="00717DC0">
              <w:rPr>
                <w:rFonts w:eastAsia="Calibri"/>
                <w:color w:val="000000"/>
                <w:lang w:val="en-US"/>
              </w:rPr>
              <w:t>;</w:t>
            </w:r>
          </w:p>
          <w:p w:rsidR="00801F51" w:rsidRPr="00717DC0" w:rsidRDefault="00717DC0" w:rsidP="008B3F0C">
            <w:pPr>
              <w:pStyle w:val="NormalWeb"/>
              <w:numPr>
                <w:ilvl w:val="0"/>
                <w:numId w:val="23"/>
              </w:numPr>
              <w:jc w:val="left"/>
              <w:rPr>
                <w:color w:val="000000" w:themeColor="text1"/>
                <w:lang w:val="ro-RO"/>
              </w:rPr>
            </w:pPr>
            <w:r w:rsidRPr="00717DC0">
              <w:rPr>
                <w:rFonts w:eastAsia="Calibri"/>
                <w:color w:val="000000" w:themeColor="text1"/>
                <w:lang w:val="ro-MD"/>
              </w:rPr>
              <w:t>Participarea la întocmirea rapoartelor financiare aferente cheltuielilor administrative, rapoartelor statistice</w:t>
            </w:r>
            <w:r w:rsidR="00801F51" w:rsidRPr="00717DC0">
              <w:rPr>
                <w:rFonts w:eastAsia="Calibri"/>
                <w:color w:val="000000"/>
                <w:lang w:val="en-US"/>
              </w:rPr>
              <w:t>;</w:t>
            </w:r>
          </w:p>
          <w:p w:rsidR="00801F51" w:rsidRPr="00717DC0" w:rsidRDefault="00717DC0" w:rsidP="008B3F0C">
            <w:pPr>
              <w:pStyle w:val="NormalWeb"/>
              <w:numPr>
                <w:ilvl w:val="0"/>
                <w:numId w:val="23"/>
              </w:numPr>
              <w:jc w:val="left"/>
              <w:rPr>
                <w:color w:val="000000" w:themeColor="text1"/>
                <w:lang w:val="ro-RO"/>
              </w:rPr>
            </w:pPr>
            <w:proofErr w:type="spellStart"/>
            <w:r w:rsidRPr="00717DC0">
              <w:rPr>
                <w:rFonts w:eastAsia="Calibri"/>
                <w:color w:val="000000" w:themeColor="text1"/>
                <w:lang w:val="en-US"/>
              </w:rPr>
              <w:t>Întotocmirea</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notelor</w:t>
            </w:r>
            <w:proofErr w:type="spellEnd"/>
            <w:r w:rsidRPr="00717DC0">
              <w:rPr>
                <w:rFonts w:eastAsia="Calibri"/>
                <w:color w:val="000000" w:themeColor="text1"/>
                <w:lang w:val="en-US"/>
              </w:rPr>
              <w:t xml:space="preserve"> de </w:t>
            </w:r>
            <w:proofErr w:type="spellStart"/>
            <w:r w:rsidRPr="00717DC0">
              <w:rPr>
                <w:rFonts w:eastAsia="Calibri"/>
                <w:color w:val="000000" w:themeColor="text1"/>
                <w:lang w:val="en-US"/>
              </w:rPr>
              <w:t>contabilitate</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înregistrarea</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în</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programa</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aplicativă</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contabilă</w:t>
            </w:r>
            <w:proofErr w:type="spellEnd"/>
            <w:r w:rsidRPr="00717DC0">
              <w:rPr>
                <w:rFonts w:eastAsia="Calibri"/>
                <w:color w:val="000000" w:themeColor="text1"/>
                <w:lang w:val="en-US"/>
              </w:rPr>
              <w:t xml:space="preserve"> </w:t>
            </w:r>
            <w:proofErr w:type="gramStart"/>
            <w:r w:rsidRPr="00717DC0">
              <w:rPr>
                <w:rFonts w:eastAsia="Calibri"/>
                <w:color w:val="000000" w:themeColor="text1"/>
                <w:lang w:val="en-US"/>
              </w:rPr>
              <w:t>a</w:t>
            </w:r>
            <w:proofErr w:type="gramEnd"/>
            <w:r w:rsidRPr="00717DC0">
              <w:rPr>
                <w:rFonts w:eastAsia="Calibri"/>
                <w:color w:val="000000" w:themeColor="text1"/>
                <w:lang w:val="en-US"/>
              </w:rPr>
              <w:t xml:space="preserve"> </w:t>
            </w:r>
            <w:proofErr w:type="spellStart"/>
            <w:r w:rsidRPr="00717DC0">
              <w:rPr>
                <w:rFonts w:eastAsia="Calibri"/>
                <w:color w:val="000000" w:themeColor="text1"/>
                <w:lang w:val="en-US"/>
              </w:rPr>
              <w:t>operațiunilor</w:t>
            </w:r>
            <w:proofErr w:type="spellEnd"/>
            <w:r w:rsidRPr="00717DC0">
              <w:rPr>
                <w:rFonts w:eastAsia="Calibri"/>
                <w:color w:val="000000" w:themeColor="text1"/>
                <w:lang w:val="en-US"/>
              </w:rPr>
              <w:t xml:space="preserve"> </w:t>
            </w:r>
            <w:proofErr w:type="spellStart"/>
            <w:r w:rsidRPr="00717DC0">
              <w:rPr>
                <w:rFonts w:eastAsia="Calibri"/>
                <w:color w:val="000000" w:themeColor="text1"/>
                <w:lang w:val="en-US"/>
              </w:rPr>
              <w:t>financiare</w:t>
            </w:r>
            <w:proofErr w:type="spellEnd"/>
            <w:r w:rsidR="00801F51" w:rsidRPr="00717DC0">
              <w:rPr>
                <w:color w:val="000000"/>
                <w:lang w:val="it-IT"/>
              </w:rPr>
              <w:t>.</w:t>
            </w:r>
          </w:p>
          <w:p w:rsidR="004D3A1B" w:rsidRPr="002C7DDD" w:rsidRDefault="004D3A1B" w:rsidP="00801F51">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8B3F0C">
            <w:pPr>
              <w:pStyle w:val="NormalWeb"/>
              <w:numPr>
                <w:ilvl w:val="0"/>
                <w:numId w:val="23"/>
              </w:numPr>
              <w:jc w:val="left"/>
              <w:rPr>
                <w:color w:val="000000" w:themeColor="text1"/>
                <w:lang w:val="ro-RO"/>
              </w:rPr>
            </w:pPr>
            <w:r w:rsidRPr="002C7DDD">
              <w:rPr>
                <w:color w:val="000000" w:themeColor="text1"/>
                <w:lang w:val="ro-RO"/>
              </w:rPr>
              <w:t>deţinerea cetăţeniei Republicii Moldova;</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prezența studiilor necesare prevăzute;</w:t>
            </w:r>
          </w:p>
          <w:p w:rsidR="004D3A1B" w:rsidRPr="002C7DDD" w:rsidRDefault="00472879" w:rsidP="008B3F0C">
            <w:pPr>
              <w:pStyle w:val="NormalWeb"/>
              <w:numPr>
                <w:ilvl w:val="0"/>
                <w:numId w:val="23"/>
              </w:numPr>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472879">
              <w:rPr>
                <w:color w:val="000000"/>
                <w:lang w:val="en-US"/>
              </w:rPr>
              <w:t xml:space="preserve">de 63 de </w:t>
            </w:r>
            <w:proofErr w:type="spellStart"/>
            <w:r w:rsidRPr="00472879">
              <w:rPr>
                <w:color w:val="000000"/>
                <w:lang w:val="en-US"/>
              </w:rPr>
              <w:t>ani</w:t>
            </w:r>
            <w:proofErr w:type="spellEnd"/>
            <w:r w:rsidR="004D3A1B" w:rsidRPr="002C7DDD">
              <w:rPr>
                <w:color w:val="000000" w:themeColor="text1"/>
                <w:lang w:val="ro-RO"/>
              </w:rPr>
              <w:t xml:space="preserve">; </w:t>
            </w:r>
          </w:p>
          <w:p w:rsidR="004D3A1B"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801F51" w:rsidRPr="000B4AD8" w:rsidRDefault="004D3A1B" w:rsidP="00801F51">
            <w:pPr>
              <w:autoSpaceDE w:val="0"/>
              <w:autoSpaceDN w:val="0"/>
              <w:adjustRightInd w:val="0"/>
            </w:pPr>
            <w:r w:rsidRPr="002C7DDD">
              <w:rPr>
                <w:b/>
                <w:color w:val="000000" w:themeColor="text1"/>
                <w:lang w:val="ro-RO"/>
              </w:rPr>
              <w:t xml:space="preserve">Studii: </w:t>
            </w:r>
            <w:r w:rsidR="00717DC0" w:rsidRPr="00900EC4">
              <w:rPr>
                <w:rFonts w:eastAsia="Calibri"/>
                <w:lang w:val="ro-MD"/>
              </w:rPr>
              <w:t>Superioare, de licență sau echivalente în domeniul</w:t>
            </w:r>
            <w:r w:rsidR="00717DC0">
              <w:rPr>
                <w:rFonts w:eastAsia="Calibri"/>
                <w:lang w:val="ro-MD"/>
              </w:rPr>
              <w:t xml:space="preserve"> economic financiar</w:t>
            </w:r>
            <w:r w:rsidR="00801F51" w:rsidRPr="000B4AD8">
              <w:t>;</w:t>
            </w:r>
          </w:p>
          <w:p w:rsidR="00801F51" w:rsidRDefault="00801F51" w:rsidP="004D3A1B">
            <w:pPr>
              <w:jc w:val="both"/>
              <w:rPr>
                <w:b/>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717DC0" w:rsidRPr="00900EC4" w:rsidRDefault="00621E2F" w:rsidP="00717DC0">
            <w:pPr>
              <w:pStyle w:val="lf"/>
              <w:rPr>
                <w:lang w:val="en-US"/>
              </w:rPr>
            </w:pPr>
            <w:r w:rsidRPr="003126F0">
              <w:rPr>
                <w:lang w:val="ro-RO"/>
              </w:rPr>
              <w:t xml:space="preserve">- </w:t>
            </w:r>
            <w:proofErr w:type="spellStart"/>
            <w:r w:rsidR="00717DC0" w:rsidRPr="00900EC4">
              <w:rPr>
                <w:lang w:val="en-US"/>
              </w:rPr>
              <w:t>Cunoașterea</w:t>
            </w:r>
            <w:proofErr w:type="spellEnd"/>
            <w:r w:rsidR="00717DC0" w:rsidRPr="00900EC4">
              <w:rPr>
                <w:lang w:val="en-US"/>
              </w:rPr>
              <w:t xml:space="preserve"> </w:t>
            </w:r>
            <w:proofErr w:type="spellStart"/>
            <w:r w:rsidR="00717DC0" w:rsidRPr="00900EC4">
              <w:rPr>
                <w:lang w:val="en-US"/>
              </w:rPr>
              <w:t>legislației</w:t>
            </w:r>
            <w:proofErr w:type="spellEnd"/>
            <w:r w:rsidR="00717DC0" w:rsidRPr="00900EC4">
              <w:rPr>
                <w:lang w:val="en-US"/>
              </w:rPr>
              <w:t xml:space="preserve"> </w:t>
            </w:r>
            <w:proofErr w:type="spellStart"/>
            <w:r w:rsidR="00717DC0" w:rsidRPr="00900EC4">
              <w:rPr>
                <w:lang w:val="en-US"/>
              </w:rPr>
              <w:t>în</w:t>
            </w:r>
            <w:proofErr w:type="spellEnd"/>
            <w:r w:rsidR="00717DC0" w:rsidRPr="00900EC4">
              <w:rPr>
                <w:lang w:val="en-US"/>
              </w:rPr>
              <w:t xml:space="preserve"> </w:t>
            </w:r>
            <w:proofErr w:type="spellStart"/>
            <w:r w:rsidR="00717DC0" w:rsidRPr="00900EC4">
              <w:rPr>
                <w:lang w:val="en-US"/>
              </w:rPr>
              <w:t>domeniu</w:t>
            </w:r>
            <w:proofErr w:type="spellEnd"/>
            <w:r w:rsidR="00717DC0" w:rsidRPr="00900EC4">
              <w:rPr>
                <w:lang w:val="en-US"/>
              </w:rPr>
              <w:t>;</w:t>
            </w:r>
          </w:p>
          <w:p w:rsidR="00717DC0" w:rsidRDefault="00717DC0" w:rsidP="00717DC0">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rsidRPr="00900EC4">
              <w:t>etc</w:t>
            </w:r>
            <w:proofErr w:type="spellEnd"/>
            <w:r w:rsidRPr="00900EC4">
              <w:t>;</w:t>
            </w:r>
          </w:p>
          <w:p w:rsidR="00717DC0" w:rsidRPr="00C10084" w:rsidRDefault="00717DC0" w:rsidP="00717DC0">
            <w:pPr>
              <w:rPr>
                <w:lang w:val="ro-MD"/>
              </w:rPr>
            </w:pPr>
            <w:r w:rsidRPr="00C10084">
              <w:t xml:space="preserve">- </w:t>
            </w:r>
            <w:proofErr w:type="spellStart"/>
            <w:r w:rsidRPr="00C10084">
              <w:rPr>
                <w:lang w:val="ro-MD"/>
              </w:rPr>
              <w:t>Cunoaşterea</w:t>
            </w:r>
            <w:proofErr w:type="spellEnd"/>
            <w:r w:rsidRPr="00C10084">
              <w:rPr>
                <w:lang w:val="ro-MD"/>
              </w:rPr>
              <w:t xml:space="preserve"> programei contabile Universal </w:t>
            </w:r>
            <w:proofErr w:type="spellStart"/>
            <w:r w:rsidRPr="00C10084">
              <w:rPr>
                <w:lang w:val="ro-MD"/>
              </w:rPr>
              <w:t>Acounting</w:t>
            </w:r>
            <w:proofErr w:type="spellEnd"/>
            <w:r w:rsidRPr="00C10084">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717DC0" w:rsidP="004D3A1B">
            <w:pPr>
              <w:jc w:val="both"/>
              <w:rPr>
                <w:lang w:val="ro-RO"/>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00621E2F"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252A7F" w:rsidRPr="00252A7F" w:rsidRDefault="00621E2F" w:rsidP="00621E2F">
            <w:pPr>
              <w:jc w:val="both"/>
              <w:rPr>
                <w:rFonts w:eastAsia="Calibri"/>
                <w:lang w:val="ro-RO"/>
              </w:rPr>
            </w:pPr>
            <w:r w:rsidRPr="003126F0">
              <w:rPr>
                <w:rFonts w:eastAsia="Calibri"/>
                <w:lang w:val="ro-RO"/>
              </w:rPr>
              <w:t>Responsabilitate, respect față de oameni, obiectivitate, loialitate, disciplină, tendință spre d</w:t>
            </w:r>
            <w:r w:rsidR="00252A7F">
              <w:rPr>
                <w:rFonts w:eastAsia="Calibri"/>
                <w:lang w:val="ro-RO"/>
              </w:rPr>
              <w:t>ezvoltare profesională continuă, receptivitate față de idei noi, spirit de inițiaitivă, rezistență la stres, auto-organizare.</w:t>
            </w: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Default="002C7DDD" w:rsidP="002C7DDD">
            <w:pPr>
              <w:ind w:firstLine="34"/>
              <w:rPr>
                <w:iCs/>
                <w:color w:val="000000" w:themeColor="text1"/>
                <w:lang w:val="ro-RO"/>
              </w:rPr>
            </w:pPr>
          </w:p>
          <w:p w:rsidR="008B3F0C" w:rsidRDefault="008B3F0C" w:rsidP="002C7DDD">
            <w:pPr>
              <w:ind w:firstLine="34"/>
              <w:rPr>
                <w:iCs/>
                <w:color w:val="000000" w:themeColor="text1"/>
                <w:lang w:val="ro-RO"/>
              </w:rPr>
            </w:pPr>
          </w:p>
          <w:p w:rsidR="008B3F0C" w:rsidRPr="002C7DDD" w:rsidRDefault="008B3F0C"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8B3F0C">
            <w:pPr>
              <w:pStyle w:val="NormalWeb"/>
              <w:numPr>
                <w:ilvl w:val="0"/>
                <w:numId w:val="26"/>
              </w:numPr>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634796">
              <w:rPr>
                <w:b/>
                <w:color w:val="000000" w:themeColor="text1"/>
                <w:u w:val="single"/>
                <w:lang w:val="ro-RO"/>
              </w:rPr>
              <w:t>22 septembrie</w:t>
            </w:r>
            <w:bookmarkStart w:id="0" w:name="_GoBack"/>
            <w:bookmarkEnd w:id="0"/>
            <w:r w:rsidR="00801F51">
              <w:rPr>
                <w:b/>
                <w:color w:val="000000" w:themeColor="text1"/>
                <w:u w:val="single"/>
                <w:lang w:val="ro-RO"/>
              </w:rPr>
              <w:t xml:space="preserve"> </w:t>
            </w:r>
            <w:r w:rsidR="007E0A18">
              <w:rPr>
                <w:b/>
                <w:color w:val="000000" w:themeColor="text1"/>
                <w:u w:val="single"/>
                <w:lang w:val="ro-RO"/>
              </w:rPr>
              <w:t>2019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B3F0C" w:rsidRPr="00914734" w:rsidRDefault="008B3F0C" w:rsidP="008B3F0C">
            <w:pPr>
              <w:pStyle w:val="ListParagraph"/>
              <w:numPr>
                <w:ilvl w:val="0"/>
                <w:numId w:val="27"/>
              </w:numPr>
              <w:spacing w:before="100" w:beforeAutospacing="1" w:after="100" w:afterAutospacing="1"/>
              <w:rPr>
                <w:color w:val="000000" w:themeColor="text1"/>
                <w:lang w:val="ro-RO"/>
              </w:rPr>
            </w:pPr>
            <w:proofErr w:type="spellStart"/>
            <w:r w:rsidRPr="00914734">
              <w:rPr>
                <w:color w:val="000000" w:themeColor="text1"/>
                <w:lang w:val="ro-RO"/>
              </w:rPr>
              <w:t>Constituţia</w:t>
            </w:r>
            <w:proofErr w:type="spellEnd"/>
            <w:r w:rsidRPr="00914734">
              <w:rPr>
                <w:color w:val="000000" w:themeColor="text1"/>
                <w:lang w:val="ro-RO"/>
              </w:rPr>
              <w:t xml:space="preserve"> Republicii Moldova;</w:t>
            </w:r>
          </w:p>
          <w:p w:rsidR="008B3F0C" w:rsidRPr="00914734" w:rsidRDefault="008B3F0C" w:rsidP="008B3F0C">
            <w:pPr>
              <w:numPr>
                <w:ilvl w:val="0"/>
                <w:numId w:val="27"/>
              </w:numPr>
              <w:spacing w:before="100" w:beforeAutospacing="1" w:after="100" w:afterAutospacing="1"/>
              <w:rPr>
                <w:color w:val="000000" w:themeColor="text1"/>
                <w:lang w:val="ro-RO"/>
              </w:rPr>
            </w:pPr>
            <w:r w:rsidRPr="00914734">
              <w:rPr>
                <w:color w:val="000000" w:themeColor="text1"/>
                <w:lang w:val="ro-RO"/>
              </w:rPr>
              <w:t xml:space="preserve">Legea nr.158-XVI din 04. 07.2008 cu privire la </w:t>
            </w:r>
            <w:proofErr w:type="spellStart"/>
            <w:r w:rsidRPr="00914734">
              <w:rPr>
                <w:color w:val="000000" w:themeColor="text1"/>
                <w:lang w:val="ro-RO"/>
              </w:rPr>
              <w:t>funcţia</w:t>
            </w:r>
            <w:proofErr w:type="spellEnd"/>
            <w:r w:rsidRPr="00914734">
              <w:rPr>
                <w:color w:val="000000" w:themeColor="text1"/>
                <w:lang w:val="ro-RO"/>
              </w:rPr>
              <w:t xml:space="preserve"> publică </w:t>
            </w:r>
            <w:proofErr w:type="spellStart"/>
            <w:r w:rsidRPr="00914734">
              <w:rPr>
                <w:color w:val="000000" w:themeColor="text1"/>
                <w:lang w:val="ro-RO"/>
              </w:rPr>
              <w:t>şi</w:t>
            </w:r>
            <w:proofErr w:type="spellEnd"/>
            <w:r w:rsidRPr="00914734">
              <w:rPr>
                <w:color w:val="000000" w:themeColor="text1"/>
                <w:lang w:val="ro-RO"/>
              </w:rPr>
              <w:t xml:space="preserve"> statutul </w:t>
            </w:r>
            <w:proofErr w:type="spellStart"/>
            <w:r w:rsidRPr="00914734">
              <w:rPr>
                <w:color w:val="000000" w:themeColor="text1"/>
                <w:lang w:val="ro-RO"/>
              </w:rPr>
              <w:t>funcţionarului</w:t>
            </w:r>
            <w:proofErr w:type="spellEnd"/>
            <w:r w:rsidRPr="00914734">
              <w:rPr>
                <w:color w:val="000000" w:themeColor="text1"/>
                <w:lang w:val="ro-RO"/>
              </w:rPr>
              <w:t xml:space="preserve"> public;</w:t>
            </w:r>
          </w:p>
          <w:p w:rsidR="008B3F0C" w:rsidRPr="00914734" w:rsidRDefault="008B3F0C" w:rsidP="00713D0F">
            <w:pPr>
              <w:pStyle w:val="ListParagraph"/>
              <w:numPr>
                <w:ilvl w:val="0"/>
                <w:numId w:val="27"/>
              </w:numPr>
              <w:spacing w:after="160" w:line="256" w:lineRule="auto"/>
              <w:rPr>
                <w:color w:val="000000" w:themeColor="text1"/>
                <w:lang w:val="ro-RO"/>
              </w:rPr>
            </w:pPr>
            <w:r w:rsidRPr="00914734">
              <w:rPr>
                <w:color w:val="000000" w:themeColor="text1"/>
                <w:lang w:val="ro-RO"/>
              </w:rPr>
              <w:t xml:space="preserve">Legea nr.25-XVI din 22.02.2008 privind Codul de conduită a </w:t>
            </w:r>
            <w:proofErr w:type="spellStart"/>
            <w:r w:rsidRPr="00914734">
              <w:rPr>
                <w:color w:val="000000" w:themeColor="text1"/>
                <w:lang w:val="ro-RO"/>
              </w:rPr>
              <w:t>funcţionarului</w:t>
            </w:r>
            <w:proofErr w:type="spellEnd"/>
            <w:r w:rsidRPr="00914734">
              <w:rPr>
                <w:color w:val="000000" w:themeColor="text1"/>
                <w:lang w:val="ro-RO"/>
              </w:rPr>
              <w:t xml:space="preserve"> public;</w:t>
            </w:r>
          </w:p>
          <w:p w:rsidR="002C7DDD" w:rsidRPr="00914734" w:rsidRDefault="00713D0F" w:rsidP="00713D0F">
            <w:pPr>
              <w:pStyle w:val="ListParagraph"/>
              <w:numPr>
                <w:ilvl w:val="0"/>
                <w:numId w:val="27"/>
              </w:numPr>
              <w:spacing w:after="160" w:line="256" w:lineRule="auto"/>
              <w:rPr>
                <w:color w:val="000000" w:themeColor="text1"/>
                <w:lang w:val="ro-RO"/>
              </w:rPr>
            </w:pPr>
            <w:proofErr w:type="spellStart"/>
            <w:r w:rsidRPr="00914734">
              <w:rPr>
                <w:color w:val="000000" w:themeColor="text1"/>
              </w:rPr>
              <w:t>Legea</w:t>
            </w:r>
            <w:proofErr w:type="spellEnd"/>
            <w:r w:rsidRPr="00914734">
              <w:rPr>
                <w:color w:val="000000" w:themeColor="text1"/>
              </w:rPr>
              <w:t xml:space="preserve">  270 din 23.11.2018 </w:t>
            </w:r>
            <w:proofErr w:type="spellStart"/>
            <w:r w:rsidRPr="00914734">
              <w:rPr>
                <w:color w:val="000000" w:themeColor="text1"/>
              </w:rPr>
              <w:t>privind</w:t>
            </w:r>
            <w:proofErr w:type="spellEnd"/>
            <w:r w:rsidRPr="00914734">
              <w:rPr>
                <w:color w:val="000000" w:themeColor="text1"/>
              </w:rPr>
              <w:t xml:space="preserve"> </w:t>
            </w:r>
            <w:proofErr w:type="spellStart"/>
            <w:r w:rsidRPr="00914734">
              <w:rPr>
                <w:color w:val="000000" w:themeColor="text1"/>
              </w:rPr>
              <w:t>sistemul</w:t>
            </w:r>
            <w:proofErr w:type="spellEnd"/>
            <w:r w:rsidRPr="00914734">
              <w:rPr>
                <w:color w:val="000000" w:themeColor="text1"/>
              </w:rPr>
              <w:t xml:space="preserve"> </w:t>
            </w:r>
            <w:proofErr w:type="spellStart"/>
            <w:r w:rsidRPr="00914734">
              <w:rPr>
                <w:color w:val="000000" w:themeColor="text1"/>
              </w:rPr>
              <w:t>unitar</w:t>
            </w:r>
            <w:proofErr w:type="spellEnd"/>
            <w:r w:rsidRPr="00914734">
              <w:rPr>
                <w:color w:val="000000" w:themeColor="text1"/>
              </w:rPr>
              <w:t xml:space="preserve"> de </w:t>
            </w:r>
            <w:proofErr w:type="spellStart"/>
            <w:r w:rsidRPr="00914734">
              <w:rPr>
                <w:color w:val="000000" w:themeColor="text1"/>
              </w:rPr>
              <w:t>salarizare</w:t>
            </w:r>
            <w:proofErr w:type="spellEnd"/>
            <w:r w:rsidRPr="00914734">
              <w:rPr>
                <w:color w:val="000000" w:themeColor="text1"/>
              </w:rPr>
              <w:t xml:space="preserve"> </w:t>
            </w:r>
            <w:proofErr w:type="spellStart"/>
            <w:r w:rsidRPr="00914734">
              <w:rPr>
                <w:color w:val="000000" w:themeColor="text1"/>
              </w:rPr>
              <w:t>în</w:t>
            </w:r>
            <w:proofErr w:type="spellEnd"/>
            <w:r w:rsidRPr="00914734">
              <w:rPr>
                <w:color w:val="000000" w:themeColor="text1"/>
              </w:rPr>
              <w:t xml:space="preserve"> </w:t>
            </w:r>
            <w:proofErr w:type="spellStart"/>
            <w:r w:rsidRPr="00914734">
              <w:rPr>
                <w:color w:val="000000" w:themeColor="text1"/>
              </w:rPr>
              <w:t>sectorul</w:t>
            </w:r>
            <w:proofErr w:type="spellEnd"/>
            <w:r w:rsidRPr="00914734">
              <w:rPr>
                <w:color w:val="000000" w:themeColor="text1"/>
              </w:rPr>
              <w:t xml:space="preserve"> </w:t>
            </w:r>
            <w:proofErr w:type="spellStart"/>
            <w:r w:rsidRPr="00914734">
              <w:rPr>
                <w:color w:val="000000" w:themeColor="text1"/>
              </w:rPr>
              <w:t>bugetar</w:t>
            </w:r>
            <w:proofErr w:type="spellEnd"/>
            <w:r w:rsidRPr="00914734">
              <w:rPr>
                <w:color w:val="000000" w:themeColor="text1"/>
              </w:rPr>
              <w:t>;</w:t>
            </w:r>
          </w:p>
          <w:p w:rsidR="00713D0F" w:rsidRPr="00914734" w:rsidRDefault="00713D0F" w:rsidP="00713D0F">
            <w:pPr>
              <w:pStyle w:val="ListParagraph"/>
              <w:numPr>
                <w:ilvl w:val="0"/>
                <w:numId w:val="27"/>
              </w:numPr>
              <w:spacing w:after="160" w:line="256" w:lineRule="auto"/>
              <w:rPr>
                <w:color w:val="000000" w:themeColor="text1"/>
                <w:lang w:val="ro-RO"/>
              </w:rPr>
            </w:pPr>
            <w:r w:rsidRPr="00914734">
              <w:rPr>
                <w:color w:val="000000" w:themeColor="text1"/>
                <w:lang w:val="ro-RO"/>
              </w:rPr>
              <w:t>Hotărârea Guvernului  nr.1231 din 12.12.2018 pentru punerea în aplicare a prevederilor Legii nr. 270/2018 privind sistemul unitar de salarizare în sectorul bugetar;</w:t>
            </w:r>
          </w:p>
          <w:p w:rsidR="00713D0F" w:rsidRPr="00914734" w:rsidRDefault="00713D0F" w:rsidP="00914734">
            <w:pPr>
              <w:pStyle w:val="ListParagraph"/>
              <w:numPr>
                <w:ilvl w:val="0"/>
                <w:numId w:val="27"/>
              </w:numPr>
              <w:spacing w:after="160" w:line="256" w:lineRule="auto"/>
              <w:rPr>
                <w:color w:val="000000" w:themeColor="text1"/>
                <w:lang w:val="ro-RO"/>
              </w:rPr>
            </w:pPr>
            <w:r w:rsidRPr="00914734">
              <w:rPr>
                <w:color w:val="000000" w:themeColor="text1"/>
                <w:lang w:val="ro-RO"/>
              </w:rPr>
              <w:t xml:space="preserve">Legea </w:t>
            </w:r>
            <w:r w:rsidR="00914734" w:rsidRPr="00914734">
              <w:rPr>
                <w:color w:val="000000" w:themeColor="text1"/>
                <w:lang w:val="ro-RO"/>
              </w:rPr>
              <w:t xml:space="preserve"> nr. 113 din 27.04.2007 </w:t>
            </w:r>
            <w:proofErr w:type="spellStart"/>
            <w:r w:rsidR="00914734" w:rsidRPr="00914734">
              <w:rPr>
                <w:color w:val="000000" w:themeColor="text1"/>
                <w:lang w:val="ro-RO"/>
              </w:rPr>
              <w:t>contabilităţii</w:t>
            </w:r>
            <w:proofErr w:type="spellEnd"/>
            <w:r w:rsidR="00914734" w:rsidRPr="00914734">
              <w:rPr>
                <w:color w:val="000000" w:themeColor="text1"/>
                <w:lang w:val="ro-RO"/>
              </w:rPr>
              <w:t>*</w:t>
            </w:r>
            <w:r w:rsidRPr="00914734">
              <w:rPr>
                <w:color w:val="000000" w:themeColor="text1"/>
                <w:lang w:val="ro-RO"/>
              </w:rPr>
              <w:t>;</w:t>
            </w:r>
          </w:p>
          <w:p w:rsidR="00914734" w:rsidRPr="00914734" w:rsidRDefault="00914734" w:rsidP="00914734">
            <w:pPr>
              <w:pStyle w:val="ListParagraph"/>
              <w:numPr>
                <w:ilvl w:val="0"/>
                <w:numId w:val="27"/>
              </w:numPr>
              <w:spacing w:after="160" w:line="256" w:lineRule="auto"/>
              <w:rPr>
                <w:color w:val="000000" w:themeColor="text1"/>
                <w:lang w:val="ro-RO"/>
              </w:rPr>
            </w:pPr>
            <w:r w:rsidRPr="00914734">
              <w:rPr>
                <w:color w:val="000000" w:themeColor="text1"/>
                <w:lang w:val="ro-RO"/>
              </w:rPr>
              <w:t>Legea nr. 1163 din 24.04.1997 codul fiscal al Republicii Moldova;</w:t>
            </w:r>
          </w:p>
          <w:p w:rsidR="00914734" w:rsidRPr="00914734" w:rsidRDefault="00914734" w:rsidP="00914734">
            <w:pPr>
              <w:pStyle w:val="ListParagraph"/>
              <w:numPr>
                <w:ilvl w:val="0"/>
                <w:numId w:val="27"/>
              </w:numPr>
              <w:spacing w:after="160" w:line="256" w:lineRule="auto"/>
              <w:rPr>
                <w:color w:val="000000" w:themeColor="text1"/>
                <w:lang w:val="ro-RO"/>
              </w:rPr>
            </w:pPr>
            <w:r w:rsidRPr="00914734">
              <w:rPr>
                <w:color w:val="000000" w:themeColor="text1"/>
                <w:lang w:val="ro-RO"/>
              </w:rPr>
              <w:t xml:space="preserve">Legea nr. 181 din 25.07.2014 </w:t>
            </w:r>
            <w:proofErr w:type="spellStart"/>
            <w:r w:rsidRPr="00914734">
              <w:rPr>
                <w:color w:val="000000" w:themeColor="text1"/>
                <w:lang w:val="ro-RO"/>
              </w:rPr>
              <w:t>finanţelor</w:t>
            </w:r>
            <w:proofErr w:type="spellEnd"/>
            <w:r w:rsidRPr="00914734">
              <w:rPr>
                <w:color w:val="000000" w:themeColor="text1"/>
                <w:lang w:val="ro-RO"/>
              </w:rPr>
              <w:t xml:space="preserve"> publice </w:t>
            </w:r>
            <w:proofErr w:type="spellStart"/>
            <w:r w:rsidRPr="00914734">
              <w:rPr>
                <w:color w:val="000000" w:themeColor="text1"/>
                <w:lang w:val="ro-RO"/>
              </w:rPr>
              <w:t>şi</w:t>
            </w:r>
            <w:proofErr w:type="spellEnd"/>
            <w:r w:rsidRPr="00914734">
              <w:rPr>
                <w:color w:val="000000" w:themeColor="text1"/>
                <w:lang w:val="ro-RO"/>
              </w:rPr>
              <w:t xml:space="preserve"> </w:t>
            </w:r>
            <w:proofErr w:type="spellStart"/>
            <w:r w:rsidRPr="00914734">
              <w:rPr>
                <w:color w:val="000000" w:themeColor="text1"/>
                <w:lang w:val="ro-RO"/>
              </w:rPr>
              <w:t>responsabilităţii</w:t>
            </w:r>
            <w:proofErr w:type="spellEnd"/>
            <w:r w:rsidRPr="00914734">
              <w:rPr>
                <w:color w:val="000000" w:themeColor="text1"/>
                <w:lang w:val="ro-RO"/>
              </w:rPr>
              <w:t xml:space="preserve"> bugetar-fiscale.</w:t>
            </w: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8" w:rsidRDefault="00043A48">
      <w:r>
        <w:separator/>
      </w:r>
    </w:p>
  </w:endnote>
  <w:endnote w:type="continuationSeparator" w:id="0">
    <w:p w:rsidR="00043A48" w:rsidRDefault="0004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8" w:rsidRDefault="00043A48">
      <w:r>
        <w:separator/>
      </w:r>
    </w:p>
  </w:footnote>
  <w:footnote w:type="continuationSeparator" w:id="0">
    <w:p w:rsidR="00043A48" w:rsidRDefault="00043A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54C51"/>
    <w:multiLevelType w:val="hybridMultilevel"/>
    <w:tmpl w:val="378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75E61B1"/>
    <w:multiLevelType w:val="hybridMultilevel"/>
    <w:tmpl w:val="98685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13A63"/>
    <w:multiLevelType w:val="hybridMultilevel"/>
    <w:tmpl w:val="7CE60D44"/>
    <w:lvl w:ilvl="0" w:tplc="E6029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8"/>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2"/>
  </w:num>
  <w:num w:numId="15">
    <w:abstractNumId w:val="18"/>
  </w:num>
  <w:num w:numId="16">
    <w:abstractNumId w:val="11"/>
  </w:num>
  <w:num w:numId="17">
    <w:abstractNumId w:val="0"/>
  </w:num>
  <w:num w:numId="18">
    <w:abstractNumId w:val="4"/>
  </w:num>
  <w:num w:numId="19">
    <w:abstractNumId w:val="1"/>
  </w:num>
  <w:num w:numId="20">
    <w:abstractNumId w:val="17"/>
  </w:num>
  <w:num w:numId="21">
    <w:abstractNumId w:val="5"/>
  </w:num>
  <w:num w:numId="22">
    <w:abstractNumId w:val="12"/>
  </w:num>
  <w:num w:numId="23">
    <w:abstractNumId w:val="15"/>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14AB9"/>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60E8F"/>
    <w:rsid w:val="00464B5B"/>
    <w:rsid w:val="00466A51"/>
    <w:rsid w:val="0046740D"/>
    <w:rsid w:val="00472879"/>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4796"/>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13D0F"/>
    <w:rsid w:val="00717DC0"/>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0A18"/>
    <w:rsid w:val="00801F51"/>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B3F0C"/>
    <w:rsid w:val="008C28FC"/>
    <w:rsid w:val="008C7D5D"/>
    <w:rsid w:val="008C7EB7"/>
    <w:rsid w:val="008D4521"/>
    <w:rsid w:val="008E6748"/>
    <w:rsid w:val="008E6825"/>
    <w:rsid w:val="008F393A"/>
    <w:rsid w:val="008F54FA"/>
    <w:rsid w:val="008F68CA"/>
    <w:rsid w:val="00905805"/>
    <w:rsid w:val="00907A98"/>
    <w:rsid w:val="00913948"/>
    <w:rsid w:val="00914734"/>
    <w:rsid w:val="009167B3"/>
    <w:rsid w:val="00916D34"/>
    <w:rsid w:val="00920059"/>
    <w:rsid w:val="00930BE5"/>
    <w:rsid w:val="00937EB8"/>
    <w:rsid w:val="009436CF"/>
    <w:rsid w:val="00943BCB"/>
    <w:rsid w:val="00950D35"/>
    <w:rsid w:val="00960C6C"/>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6E30"/>
    <w:rsid w:val="00A617B3"/>
    <w:rsid w:val="00A67A87"/>
    <w:rsid w:val="00A70685"/>
    <w:rsid w:val="00A746F3"/>
    <w:rsid w:val="00A77442"/>
    <w:rsid w:val="00A776C7"/>
    <w:rsid w:val="00A86135"/>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ED93F"/>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017577527">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652</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4361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9</cp:revision>
  <cp:lastPrinted>2019-07-24T12:36:00Z</cp:lastPrinted>
  <dcterms:created xsi:type="dcterms:W3CDTF">2019-04-19T13:56:00Z</dcterms:created>
  <dcterms:modified xsi:type="dcterms:W3CDTF">2019-08-16T12:00:00Z</dcterms:modified>
</cp:coreProperties>
</file>